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cstheme="minorHAnsi" w:ascii="Calibri" w:hAnsi="Calibri"/>
          <w:b/>
          <w:bCs/>
          <w:sz w:val="22"/>
          <w:szCs w:val="22"/>
        </w:rPr>
      </w:r>
    </w:p>
    <w:p>
      <w:pPr>
        <w:pStyle w:val="Normal"/>
        <w:spacing w:lineRule="auto" w:line="360"/>
        <w:jc w:val="center"/>
        <w:rPr/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OGŁOSZENIE Nr 18</w:t>
      </w:r>
    </w:p>
    <w:p>
      <w:pPr>
        <w:pStyle w:val="Normal"/>
        <w:spacing w:lineRule="auto" w:line="360"/>
        <w:jc w:val="center"/>
        <w:rPr/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O KONKURSIE OFERT NA DOTACJE w 2022 r.</w:t>
      </w:r>
    </w:p>
    <w:p>
      <w:pPr>
        <w:pStyle w:val="Nagwek2"/>
        <w:spacing w:before="0" w:after="0"/>
        <w:rPr>
          <w:rFonts w:ascii="Calibri" w:hAnsi="Calibri" w:cs="Calibri" w:asciiTheme="minorHAnsi" w:cstheme="minorHAnsi" w:hAnsiTheme="minorHAnsi"/>
          <w:b/>
          <w:b/>
          <w:i/>
          <w:i/>
          <w:color w:val="00000A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A"/>
          <w:sz w:val="22"/>
          <w:szCs w:val="22"/>
        </w:rPr>
        <w:t>Na podstawie art. 30 ust. 1 ustawy z dnia 8 marca 1990 r. o samorządzie gminnym  (tj. Dz. U. z 2021 r. poz. 1372 z późn. zm.), art. 15 ust. 2d ustawy z dnia 24 kwietnia 2003 r. o działalności pożytku publicznego i o wolontariacie (tj. Dz. U. 2020 poz. 1057 z późn. zm.)  oraz w związku z Uchwałą nr XXXIV/666/2021 Rady Miejskiej w Dąbrowie Górniczej z dnia 27 października 2021 r. w sprawie przyjęcia "Programu współpracy Gminy Dąbrowa Górnicza z organizacjami pozarządowymi oraz innymi podmiotami prowadzącymi działalność pożytku publicznego na rok 2022" oraz zgodnie z Zarządzeniem Nr 2072.2021 Prezydenta Miasta Dąbrowa Górnicza z dnia 4 listopada 2021 r. w sprawie: przyjęcia zasad przyznawania i rozliczania dotacji z budżetu gminy Dąbrowa Górnicza na realizację zadań własnych gminy i powiatu w 2022 r. w ramach art. 13 ustawy o działalności pożytku publicznego i o wolontariacie (tryb konkursowy).</w:t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  <w:b/>
          <w:b/>
          <w:sz w:val="22"/>
          <w:szCs w:val="22"/>
          <w:lang w:val="x-none"/>
        </w:rPr>
      </w:pPr>
      <w:r>
        <w:rPr>
          <w:rFonts w:cs="Calibri" w:cstheme="minorHAnsi" w:ascii="Calibri" w:hAnsi="Calibri"/>
          <w:b/>
          <w:sz w:val="22"/>
          <w:szCs w:val="22"/>
          <w:lang w:val="x-none"/>
        </w:rPr>
      </w:r>
    </w:p>
    <w:p>
      <w:pPr>
        <w:pStyle w:val="Normal"/>
        <w:spacing w:lineRule="auto" w:line="360"/>
        <w:jc w:val="center"/>
        <w:rPr/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PREZYDENT MIASTA DĄBROWA GÓRNICZA ogłasza IV konkurs na dotacje z budżetu miasta na realizację poniżej proponowanych zadań własnych gminy z zakresu </w:t>
      </w:r>
      <w:r>
        <w:rPr>
          <w:rStyle w:val="Strong"/>
          <w:rFonts w:cs="Calibri" w:ascii="Calibri" w:hAnsi="Calibri" w:asciiTheme="minorHAnsi" w:cstheme="minorHAnsi" w:hAnsiTheme="minorHAnsi"/>
          <w:sz w:val="22"/>
          <w:szCs w:val="22"/>
        </w:rPr>
        <w:t xml:space="preserve">upowszechniania </w:t>
        <w:br/>
        <w:t>i rozwoju sportu, turystyki i rekreacji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 w 2022 r.</w:t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spacing w:lineRule="auto" w:line="360"/>
        <w:ind w:left="720" w:hanging="0"/>
        <w:jc w:val="both"/>
        <w:rPr>
          <w:rFonts w:ascii="Calibri" w:hAnsi="Calibri" w:cs="Calibri" w:asciiTheme="minorHAnsi" w:cs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1. Celem   konkursu jest wyłonienie podmiotu/podmiotów do realizacji zadania publicznego Gminy Dąbrowa Górnicza w roku 2022 z zakresu </w:t>
      </w:r>
      <w:r>
        <w:rPr>
          <w:rStyle w:val="Strong"/>
          <w:rFonts w:eastAsia="" w:cs="Calibri" w:ascii="Calibri" w:hAnsi="Calibri" w:asciiTheme="minorHAnsi" w:cstheme="minorHAnsi" w:eastAsiaTheme="majorEastAsia" w:hAnsiTheme="minorHAnsi"/>
          <w:sz w:val="22"/>
          <w:szCs w:val="22"/>
        </w:rPr>
        <w:t>upowszechniania i rozwoju sportu, turystyki i  rekreacji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pod nazwą: </w:t>
      </w:r>
      <w:r>
        <w:rPr>
          <w:rFonts w:cs="Calibri" w:ascii="Calibri" w:hAnsi="Calibri" w:asciiTheme="minorHAnsi" w:cstheme="minorHAnsi" w:hAnsiTheme="minorHAnsi"/>
          <w:b/>
          <w:color w:val="00000A"/>
          <w:sz w:val="22"/>
          <w:szCs w:val="22"/>
        </w:rPr>
        <w:t>„Bezpieczeństwo dąbrowskich kąpielisk miejskich oraz zbiorników wodnych Pogoria I oraz Pogoria III”.</w:t>
      </w:r>
    </w:p>
    <w:p>
      <w:pPr>
        <w:pStyle w:val="Normal"/>
        <w:widowControl/>
        <w:suppressAutoHyphens w:val="false"/>
        <w:spacing w:lineRule="auto" w:line="360"/>
        <w:ind w:left="284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spacing w:lineRule="auto" w:line="360"/>
        <w:jc w:val="both"/>
        <w:rPr>
          <w:rFonts w:ascii="Calibri" w:hAnsi="Calibri" w:cs="Calibri" w:asciiTheme="minorHAnsi" w:cs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Calibri" w:cstheme="minorHAnsi" w:ascii="Calibri" w:hAnsi="Calibri"/>
          <w:b/>
          <w:bCs/>
          <w:color w:val="00000A"/>
          <w:sz w:val="22"/>
          <w:szCs w:val="22"/>
        </w:rPr>
      </w:r>
    </w:p>
    <w:tbl>
      <w:tblPr>
        <w:tblStyle w:val="Tabela-Siatka"/>
        <w:tblW w:w="9213" w:type="dxa"/>
        <w:jc w:val="left"/>
        <w:tblInd w:w="411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48"/>
        <w:gridCol w:w="6264"/>
      </w:tblGrid>
      <w:tr>
        <w:trPr/>
        <w:tc>
          <w:tcPr>
            <w:tcW w:w="2948" w:type="dxa"/>
            <w:tcBorders/>
            <w:shd w:fill="auto" w:val="clear"/>
            <w:tcMar>
              <w:left w:w="98" w:type="dxa"/>
            </w:tcMar>
          </w:tcPr>
          <w:p>
            <w:pPr>
              <w:pStyle w:val="NormalWeb"/>
              <w:spacing w:lineRule="auto" w:line="360" w:beforeAutospacing="0" w:before="0" w:afterAutospacing="0" w:after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Nazwa zadania</w:t>
            </w:r>
          </w:p>
          <w:p>
            <w:pPr>
              <w:pStyle w:val="NormalWeb"/>
              <w:spacing w:lineRule="auto" w:line="360" w:beforeAutospacing="0" w:before="0" w:afterAutospacing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6264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Bezpieczeństwo dąbrowskich kąpielisk miejskich oraz zbiorników wodnych Pogoria I oraz Pogoria III</w:t>
            </w:r>
          </w:p>
        </w:tc>
      </w:tr>
      <w:tr>
        <w:trPr>
          <w:trHeight w:val="488" w:hRule="atLeast"/>
        </w:trPr>
        <w:tc>
          <w:tcPr>
            <w:tcW w:w="2948" w:type="dxa"/>
            <w:vMerge w:val="restart"/>
            <w:tcBorders/>
            <w:shd w:fill="auto" w:val="clear"/>
            <w:tcMar>
              <w:left w:w="98" w:type="dxa"/>
            </w:tcMar>
          </w:tcPr>
          <w:p>
            <w:pPr>
              <w:pStyle w:val="NormalWeb"/>
              <w:spacing w:lineRule="auto" w:line="360" w:before="0" w:after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Kwota przeznaczona na zadanie</w:t>
            </w:r>
          </w:p>
        </w:tc>
        <w:tc>
          <w:tcPr>
            <w:tcW w:w="6264" w:type="dxa"/>
            <w:tcBorders/>
            <w:shd w:fill="auto" w:val="clear"/>
            <w:tcMar>
              <w:left w:w="98" w:type="dxa"/>
            </w:tcMar>
          </w:tcPr>
          <w:p>
            <w:pPr>
              <w:pStyle w:val="NormalWeb"/>
              <w:spacing w:lineRule="auto" w:line="360" w:beforeAutospacing="0" w:before="0" w:afterAutospacing="0" w:after="0"/>
              <w:rPr>
                <w:rFonts w:ascii="Calibri" w:hAnsi="Calibri" w:cs="Calibri" w:asciiTheme="minorHAnsi" w:cstheme="minorHAnsi" w:hAnsiTheme="minorHAnsi"/>
                <w:color w:val="FF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Ogółem: 220.000,00 zł</w:t>
            </w:r>
          </w:p>
        </w:tc>
      </w:tr>
      <w:tr>
        <w:trPr>
          <w:trHeight w:val="487" w:hRule="atLeast"/>
        </w:trPr>
        <w:tc>
          <w:tcPr>
            <w:tcW w:w="2948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Web"/>
              <w:spacing w:lineRule="auto" w:line="360" w:before="0" w:after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</w:tc>
        <w:tc>
          <w:tcPr>
            <w:tcW w:w="6264" w:type="dxa"/>
            <w:tcBorders/>
            <w:shd w:fill="auto" w:val="clear"/>
            <w:tcMar>
              <w:left w:w="98" w:type="dxa"/>
            </w:tcMar>
          </w:tcPr>
          <w:p>
            <w:pPr>
              <w:pStyle w:val="NormalWeb"/>
              <w:spacing w:lineRule="auto" w:line="360" w:beforeAutospacing="0" w:before="0" w:afterAutospacing="0" w:after="0"/>
              <w:rPr>
                <w:rFonts w:ascii="Calibri" w:hAnsi="Calibri" w:cs="Calibri" w:asciiTheme="minorHAnsi" w:cstheme="minorHAnsi" w:hAnsiTheme="minorHAnsi"/>
                <w:b/>
                <w:b/>
                <w:color w:val="FF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Limit kwot dla jednego projektu: 220.000,00 zł</w:t>
            </w:r>
          </w:p>
        </w:tc>
      </w:tr>
      <w:tr>
        <w:trPr/>
        <w:tc>
          <w:tcPr>
            <w:tcW w:w="2948" w:type="dxa"/>
            <w:tcBorders/>
            <w:shd w:fill="auto" w:val="clear"/>
            <w:tcMar>
              <w:left w:w="98" w:type="dxa"/>
            </w:tcMar>
          </w:tcPr>
          <w:p>
            <w:pPr>
              <w:pStyle w:val="NormalWeb"/>
              <w:spacing w:lineRule="auto" w:line="360" w:beforeAutospacing="0" w:before="0" w:afterAutospacing="0" w:after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Cel zadania</w:t>
            </w:r>
          </w:p>
          <w:p>
            <w:pPr>
              <w:pStyle w:val="NormalWeb"/>
              <w:spacing w:lineRule="auto" w:line="360" w:beforeAutospacing="0" w:before="0" w:afterAutospacing="0" w:after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</w:tc>
        <w:tc>
          <w:tcPr>
            <w:tcW w:w="6264" w:type="dxa"/>
            <w:tcBorders/>
            <w:shd w:fill="auto" w:val="clear"/>
            <w:tcMar>
              <w:left w:w="98" w:type="dxa"/>
            </w:tcMar>
          </w:tcPr>
          <w:p>
            <w:pPr>
              <w:pStyle w:val="Default"/>
              <w:spacing w:lineRule="auto" w:line="360" w:before="0" w:after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A"/>
                <w:sz w:val="22"/>
                <w:szCs w:val="22"/>
              </w:rPr>
              <w:t>Zapewnienie bezpiecznego wypoczynku nad zbiornikami wodnymi Pogoria I oraz Pogoria III.</w:t>
            </w:r>
          </w:p>
        </w:tc>
      </w:tr>
      <w:tr>
        <w:trPr/>
        <w:tc>
          <w:tcPr>
            <w:tcW w:w="2948" w:type="dxa"/>
            <w:tcBorders/>
            <w:shd w:fill="auto" w:val="clear"/>
            <w:tcMar>
              <w:left w:w="98" w:type="dxa"/>
            </w:tcMar>
          </w:tcPr>
          <w:p>
            <w:pPr>
              <w:pStyle w:val="NormalWeb"/>
              <w:spacing w:lineRule="auto" w:line="360" w:beforeAutospacing="0" w:before="0" w:afterAutospacing="0" w:after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Rezultaty obligatoryjne realizacji zadania i wymagany poziom osiągnięcia rezultatów (wartość docelowa)</w:t>
            </w:r>
          </w:p>
        </w:tc>
        <w:tc>
          <w:tcPr>
            <w:tcW w:w="626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spacing w:lineRule="auto" w:line="360" w:before="0" w:after="0"/>
              <w:ind w:left="360" w:hanging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  <w:u w:val="single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  <w:u w:val="single"/>
              </w:rPr>
              <w:t xml:space="preserve">Pogoria III.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uppressAutoHyphens w:val="false"/>
              <w:spacing w:lineRule="auto" w:line="360" w:before="0" w:after="0"/>
              <w:contextualSpacing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Dyżury 2-3 osobowych zespołów ratowników  wodnych wyposażonych w sprzęt ratowniczy i motorowodny  typu skuter z platformą ratowniczą, łodzie motorowe  typu RIB 470  lub 700 dostosowane do prowadzenia różnego typu akcji  w zależności od potrzeb, we wszystkie weekendy od dnia 1 maja do  13 czerwca w godzinach od 10 do 18  ( razem 14 dni). 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suppressAutoHyphens w:val="false"/>
              <w:spacing w:lineRule="auto" w:line="360" w:before="0" w:after="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Pełna organizacja i obsługa kąpieliska o długości 100m  od 15 czerwca do 25 czerwca oraz dodatkowe patrole całego zbiornika  ( razem  11 dni )  zgodnie z obowiązującymi przepisami.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suppressAutoHyphens w:val="false"/>
              <w:spacing w:lineRule="auto" w:line="360" w:before="0" w:after="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Pełna organizacja i obsługa kąpieliska o długości 300m  od 26 czerwca do 31 sierpnia    zgodnie z obowiązującymi przepisami  z dodatkowym zwiększeniem liczby ratowników  w soboty i niedziele oraz systematyczne partole zbiornika sprzętem motorowodnym.</w:t>
            </w:r>
          </w:p>
          <w:p>
            <w:pPr>
              <w:pStyle w:val="Normal"/>
              <w:widowControl/>
              <w:suppressAutoHyphens w:val="false"/>
              <w:spacing w:lineRule="auto" w:line="360" w:before="0" w:after="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Przy realizacji punktów 2 i 3 do zadań dotowanego należy </w:t>
              <w:br/>
              <w:t>w szczególności:</w:t>
            </w:r>
          </w:p>
          <w:p>
            <w:pPr>
              <w:pStyle w:val="Normal"/>
              <w:suppressAutoHyphens w:val="false"/>
              <w:spacing w:lineRule="auto" w:line="360" w:before="0" w:after="0"/>
              <w:jc w:val="both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1) wytyczanie strefy dla umiejących i nieumiejących pływać; wydzielanie brodzika dla dzieci zgodnie 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  <w:lang w:eastAsia="pl-PL"/>
              </w:rPr>
              <w:t>rozporządzeniem Ministra Spraw Wewnętrznych z dnia 6 marca 2012 r. w sprawie sposobu oznakowania i zabezpieczania obszarów wodnych oraz wzorów znaków zakazu, nakazu oraz znaków informacyjnych i flag (Dz. U. 2012 r. poz. 286 ze zm.),</w:t>
            </w:r>
          </w:p>
          <w:p>
            <w:pPr>
              <w:pStyle w:val="Tekstpodstawowy23"/>
              <w:spacing w:lineRule="auto" w:line="36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2) zapewnienie stałej kontroli wyznaczonego obszaru wodnego przez ratowników wodnych w godzinach otwarcia kąpieliska zgodnie z 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  <w:lang w:eastAsia="pl-PL"/>
              </w:rPr>
              <w:t>rozporządzeniem Ministra Spraw Wewnętrznych z dnia 23 stycznia 2012 r. w sprawie minimalnych wymagań dotyczących liczby ratowników wodnych zapewniających stałą kontrolę wyznaczonego obszaru wodnego (Dz. U. z 2012 r. poz. 108 ze zm.); przez ratownika wodnego rozumie się osobę posiadającą wiedzę i umiejętności z zakresu ratownictwa wodnego i technik pływackich oraz inne kwalifikacje przydatne w ratownictwie wodnym i spełniającą wymagania określone w ustawie z dnia 8 września 2006 r. o Państwowym Ratownictwie Medycznym (j.t. Dz. U. z 2019r. poz. 993, z póżn. zm.) dla lekarza systemu, pielęgniarki systemu, ratownika medycznego realizujących doskonalenie zawodowe lub ratownika, zatrudnioną lub pełniącą służbę w podmiocie uprawnionym do wykonywania ratownictwa wodnego lub będącą członkiem tego podmiotu;</w:t>
            </w:r>
          </w:p>
          <w:p>
            <w:pPr>
              <w:pStyle w:val="Tekstpodstawowy23"/>
              <w:spacing w:lineRule="auto" w:line="36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3) utworzenie stanowiska do obserwacji wyznaczonego obszaru kąpieliska;</w:t>
            </w:r>
          </w:p>
          <w:p>
            <w:pPr>
              <w:pStyle w:val="Normal"/>
              <w:suppressAutoHyphens w:val="false"/>
              <w:spacing w:lineRule="auto" w:line="360" w:before="0" w:after="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4)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wyposażenie w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sprzęt ratunkowy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i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pomocniczy oraz urządzenia sygnalizacyjne i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ost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rzegawcze (wzrokowe i słuchowe), sprzęt medyczny i sanitarny zgodnie z 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  <w:lang w:eastAsia="pl-PL"/>
              </w:rPr>
              <w:t>rozporządzeniem Ministra Spraw Wewnętrznych z dnia 27 lutego 2012 r. w sprawie wymagań dotyczących wyposażenia wyznaczonych obszarów wodnych w sprzęt ratunkowy i pomocniczy, urządzenia sygnalizacyjne i ostrzegawcze oraz sprzęt medyczny, leki i artykuły sanitarne (Dz. U. z 2012 r., poz. 261 ze zm.), ponadto wyposażenie kąpieliska w ratowniczą łódź motorową,</w:t>
            </w:r>
          </w:p>
          <w:p>
            <w:pPr>
              <w:pStyle w:val="Tekstpodstawowy23"/>
              <w:spacing w:lineRule="auto" w:line="36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5) oczyszczanie powierzchni dna kąpieliska z wszelkich przedmiotów mogących spowodować skaleczenie lub inny wypadek;</w:t>
            </w:r>
          </w:p>
          <w:p>
            <w:pPr>
              <w:pStyle w:val="Tekstpodstawowy23"/>
              <w:spacing w:lineRule="auto" w:line="36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6) upowszechnianie zasad korzystania z wyznaczonego obszaru wodnego;</w:t>
            </w:r>
          </w:p>
          <w:p>
            <w:pPr>
              <w:pStyle w:val="Normal"/>
              <w:suppressAutoHyphens w:val="false"/>
              <w:spacing w:lineRule="auto" w:line="360" w:before="0" w:after="0"/>
              <w:jc w:val="both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7) zapewnianie przekazywania informacji o dopuszczalności lub zakazie korzystania z kąpieliska zgodnie z zgodnie 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  <w:lang w:eastAsia="pl-PL"/>
              </w:rPr>
              <w:t>rozporządzeniem Ministra Spraw Wewnętrznych z dnia 6 marca 2012 r. w sprawie sposobu oznakowania i zabezpieczania obszarów wodnych oraz wzorów znaków zakazu, nakazu oraz znaków informacyjnych i flag (Dz. U. 2012 r. poz. 286 ze zm.),</w:t>
            </w:r>
          </w:p>
          <w:p>
            <w:pPr>
              <w:pStyle w:val="Tekstpodstawowy23"/>
              <w:spacing w:lineRule="auto" w:line="36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8) umieszczenie, w ogólnie dostępnym miejscu, informacji dotyczących:</w:t>
            </w:r>
          </w:p>
          <w:p>
            <w:pPr>
              <w:pStyle w:val="Tekstpodstawowy23"/>
              <w:spacing w:lineRule="auto" w:line="36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zasad korzystania z wyznaczonego obszaru wodnego;</w:t>
            </w:r>
          </w:p>
          <w:p>
            <w:pPr>
              <w:pStyle w:val="Tekstpodstawowy23"/>
              <w:spacing w:lineRule="auto" w:line="36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ograniczeń w korzystaniu z wyznaczonego obszaru wodnego;</w:t>
            </w:r>
          </w:p>
          <w:p>
            <w:pPr>
              <w:pStyle w:val="Tekstpodstawowy23"/>
              <w:spacing w:lineRule="auto" w:line="36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sposobu powiadamiania o wypadkach wraz z numerami alarmowymi,</w:t>
            </w:r>
          </w:p>
          <w:p>
            <w:pPr>
              <w:pStyle w:val="Tekstpodstawowy23"/>
              <w:spacing w:lineRule="auto" w:line="360" w:before="0" w:after="0"/>
              <w:rPr/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9) 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  <w:lang w:eastAsia="pl-PL"/>
              </w:rPr>
              <w:t xml:space="preserve">zapewnienie bieżącej informacji dotyczącej temperatury wody i powietrza oraz wysokości fali i siły wiatru oraz wprowadzanie wymaganych danych do serwisu kąpieliskowego </w:t>
            </w:r>
            <w:hyperlink r:id="rId2">
              <w:r>
                <w:rPr>
                  <w:rStyle w:val="Czeinternetowe"/>
                  <w:rFonts w:cs="Calibri" w:ascii="Calibri" w:hAnsi="Calibri" w:asciiTheme="minorHAnsi" w:cstheme="minorHAnsi" w:hAnsiTheme="minorHAnsi"/>
                  <w:sz w:val="22"/>
                  <w:szCs w:val="22"/>
                  <w:lang w:eastAsia="pl-PL"/>
                </w:rPr>
                <w:t>https://sk.gis.gov.pl/</w:t>
              </w:r>
            </w:hyperlink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  <w:lang w:eastAsia="pl-PL"/>
              </w:rPr>
              <w:t>.</w:t>
            </w:r>
          </w:p>
          <w:p>
            <w:pPr>
              <w:pStyle w:val="Normal"/>
              <w:widowControl/>
              <w:suppressAutoHyphens w:val="false"/>
              <w:spacing w:lineRule="auto" w:line="360" w:before="0" w:after="0"/>
              <w:ind w:left="360" w:hanging="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uppressAutoHyphens w:val="false"/>
              <w:spacing w:lineRule="auto" w:line="360" w:before="0" w:after="0"/>
              <w:contextualSpacing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Dyżury 2-3 osobowych zespołów ratowników  wodnych wyposażonych w sprzęt ratowniczy i motorowodny  typu skuter z platformą ratowniczą, łodzie motorowe  typu RIB 470  lub 700 dostosowane do prowadzenia różnego typu akcji  w zależności od potrzeb, we wszystkie weekendy od dnia 1 września do  30 września w godzinach od 10 do 18  ( razem 8 dni). </w:t>
            </w:r>
          </w:p>
          <w:p>
            <w:pPr>
              <w:pStyle w:val="Normal"/>
              <w:widowControl/>
              <w:suppressAutoHyphens w:val="false"/>
              <w:spacing w:lineRule="auto" w:line="360" w:before="0" w:after="0"/>
              <w:ind w:left="360" w:hanging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  <w:u w:val="single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  <w:u w:val="single"/>
              </w:rPr>
              <w:t xml:space="preserve">Pogoria I 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uppressAutoHyphens w:val="false"/>
              <w:spacing w:lineRule="auto" w:line="360" w:before="0" w:after="0"/>
              <w:ind w:left="382" w:hanging="322"/>
              <w:contextualSpacing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Pełna organizacja i obsługa kąpieliska o długości 50-100m  od 15 czerwca do 31sierpnia zgodnie z obowiązującymi przepisami  z dodatkowym zwiększeniem liczby ratowników w soboty i niedziele.</w:t>
            </w:r>
          </w:p>
          <w:p>
            <w:pPr>
              <w:pStyle w:val="Normal"/>
              <w:widowControl/>
              <w:suppressAutoHyphens w:val="false"/>
              <w:spacing w:lineRule="auto" w:line="360" w:before="0" w:after="0"/>
              <w:ind w:left="60" w:hanging="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Przy realizacji zadania do dotowanego należy w szczególności:</w:t>
            </w:r>
          </w:p>
          <w:p>
            <w:pPr>
              <w:pStyle w:val="Normal"/>
              <w:suppressAutoHyphens w:val="false"/>
              <w:spacing w:lineRule="auto" w:line="360" w:before="0" w:after="0"/>
              <w:jc w:val="both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1) wytyczanie strefy dla umiejących i nieumiejących pływać; wydzielanie brodzika dla dzieci zgodnie 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  <w:lang w:eastAsia="pl-PL"/>
              </w:rPr>
              <w:t>rozporządzeniem Ministra Spraw Wewnętrznych z dnia 6 marca 2012 r. w sprawie sposobu oznakowania i zabezpieczania obszarów wodnych oraz wzorów znaków zakazu, nakazu oraz znaków informacyjnych i flag (Dz. U. 2012 r. poz. 286 ze zm.),</w:t>
            </w:r>
          </w:p>
          <w:p>
            <w:pPr>
              <w:pStyle w:val="Tekstpodstawowy23"/>
              <w:spacing w:lineRule="auto" w:line="36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2) zapewnienie stałej kontroli wyznaczonego obszaru wodnego przez ratowników wodnych w godzinach otwarcia kąpieliska zgodnie z 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  <w:lang w:eastAsia="pl-PL"/>
              </w:rPr>
              <w:t>rozporządzeniem Ministra Spraw Wewnętrznych z dnia 23 stycznia 2012 r. w sprawie minimalnych wymagań dotyczących liczby ratowników wodnych zapewniających stałą kontrolę wyznaczonego obszaru wodnego (Dz. U. z 2012 r. poz. 108 ze zm.); przez ratownika wodnego rozumie się osobę posiadającą wiedzę i umiejętności z zakresu ratownictwa wodnego i technik pływackich oraz inne kwalifikacje przydatne w ratownictwie wodnym i spełniającą wymagania określone w ustawie z dnia 8 września 2006 r. o Państwowym Ratownictwie Medycznym (j.t. Dz. U. z 2019r. poz. 993, z póżn. zm.) dla lekarza systemu, pielęgniarki systemu, ratownika medycznego realizujących doskonalenie zawodowe lub ratownika, zatrudnioną lub pełniącą służbę w podmiocie uprawnionym do wykonywania ratownictwa wodnego lub będącą członkiem tego podmiotu;</w:t>
            </w:r>
          </w:p>
          <w:p>
            <w:pPr>
              <w:pStyle w:val="Tekstpodstawowy23"/>
              <w:spacing w:lineRule="auto" w:line="36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3) utworzenie stanowiska do obserwacji wyznaczonego obszaru kąpieliska;</w:t>
            </w:r>
          </w:p>
          <w:p>
            <w:pPr>
              <w:pStyle w:val="Normal"/>
              <w:suppressAutoHyphens w:val="false"/>
              <w:spacing w:lineRule="auto" w:line="360" w:before="0" w:after="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4)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wyposażenie w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sprzęt ratunkowy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i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pomocniczy oraz urządzenia sygnalizacyjne i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ost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rzegawcze (wzrokowe i słuchowe), sprzęt medyczny i sanitarny zgodnie z 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  <w:lang w:eastAsia="pl-PL"/>
              </w:rPr>
              <w:t>rozporządzeniem Ministra Spraw Wewnętrznych z dnia 27 lutego 2012 r. w sprawie wymagań dotyczących wyposażenia wyznaczonych obszarów wodnych w sprzęt ratunkowy i pomocniczy, urządzenia sygnalizacyjne i ostrzegawcze oraz sprzęt medyczny, leki i artykuły sanitarne (Dz. U. z 2012 r., poz. 261 ze zm.), ponadto wyposażenie kąpieliska w ratowniczą łódź motorową,</w:t>
            </w:r>
          </w:p>
          <w:p>
            <w:pPr>
              <w:pStyle w:val="Tekstpodstawowy23"/>
              <w:spacing w:lineRule="auto" w:line="36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5) oczyszczanie powierzchni dna kąpieliska z wszelkich przedmiotów mogących spowodować skaleczenie lub inny wypadek;</w:t>
            </w:r>
          </w:p>
          <w:p>
            <w:pPr>
              <w:pStyle w:val="Tekstpodstawowy23"/>
              <w:spacing w:lineRule="auto" w:line="36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6) upowszechnianie zasad korzystania z wyznaczonego obszaru wodnego;</w:t>
            </w:r>
          </w:p>
          <w:p>
            <w:pPr>
              <w:pStyle w:val="Normal"/>
              <w:suppressAutoHyphens w:val="false"/>
              <w:spacing w:lineRule="auto" w:line="360" w:before="0" w:after="0"/>
              <w:jc w:val="both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7) zapewnianie przekazywania informacji o dopuszczalności lub zakazie korzystania z kąpieliska zgodnie z zgodnie 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  <w:lang w:eastAsia="pl-PL"/>
              </w:rPr>
              <w:t>rozporządzeniem Ministra Spraw Wewnętrznych z dnia 6 marca 2012 r. w sprawie sposobu oznakowania i zabezpieczania obszarów wodnych oraz wzorów znaków zakazu, nakazu oraz znaków informacyjnych i flag (Dz. U. 2012 r. poz. 286 ze zm.),</w:t>
            </w:r>
          </w:p>
          <w:p>
            <w:pPr>
              <w:pStyle w:val="Tekstpodstawowy23"/>
              <w:spacing w:lineRule="auto" w:line="36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8) umieszczenie, w ogólnie dostępnym miejscu, informacji dotyczących:</w:t>
            </w:r>
          </w:p>
          <w:p>
            <w:pPr>
              <w:pStyle w:val="Tekstpodstawowy23"/>
              <w:spacing w:lineRule="auto" w:line="36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zasad korzystania z wyznaczonego obszaru wodnego;</w:t>
            </w:r>
          </w:p>
          <w:p>
            <w:pPr>
              <w:pStyle w:val="Tekstpodstawowy23"/>
              <w:spacing w:lineRule="auto" w:line="36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ograniczeń w korzystaniu z wyznaczonego obszaru wodnego;</w:t>
            </w:r>
          </w:p>
          <w:p>
            <w:pPr>
              <w:pStyle w:val="Tekstpodstawowy23"/>
              <w:spacing w:lineRule="auto" w:line="36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sposobu powiadamiania o wypadkach wraz z numerami alarmowymi,</w:t>
            </w:r>
          </w:p>
          <w:p>
            <w:pPr>
              <w:pStyle w:val="Tekstpodstawowy23"/>
              <w:spacing w:lineRule="auto" w:line="360" w:before="0" w:after="0"/>
              <w:rPr/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9) 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  <w:lang w:eastAsia="pl-PL"/>
              </w:rPr>
              <w:t xml:space="preserve">zapewnienie bieżącej informacji dotyczącej temperatury wody i powietrza oraz wysokości fali i siły wiatru oraz wprowadzanie wymaganych danych do serwisu kąpieliskowego </w:t>
            </w:r>
            <w:hyperlink r:id="rId3">
              <w:r>
                <w:rPr>
                  <w:rStyle w:val="Czeinternetowe"/>
                  <w:rFonts w:cs="Calibri" w:ascii="Calibri" w:hAnsi="Calibri" w:asciiTheme="minorHAnsi" w:cstheme="minorHAnsi" w:hAnsiTheme="minorHAnsi"/>
                  <w:sz w:val="22"/>
                  <w:szCs w:val="22"/>
                  <w:lang w:eastAsia="pl-PL"/>
                </w:rPr>
                <w:t>https://sk.gis.gov.pl/</w:t>
              </w:r>
            </w:hyperlink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  <w:lang w:eastAsia="pl-PL"/>
              </w:rPr>
              <w:t>.</w:t>
            </w:r>
          </w:p>
        </w:tc>
      </w:tr>
      <w:tr>
        <w:trPr/>
        <w:tc>
          <w:tcPr>
            <w:tcW w:w="2948" w:type="dxa"/>
            <w:tcBorders/>
            <w:shd w:fill="auto" w:val="clear"/>
            <w:tcMar>
              <w:left w:w="98" w:type="dxa"/>
            </w:tcMar>
          </w:tcPr>
          <w:p>
            <w:pPr>
              <w:pStyle w:val="NormalWeb"/>
              <w:spacing w:lineRule="auto" w:line="360" w:beforeAutospacing="0" w:before="0" w:afterAutospacing="0" w:after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Sposób monitorowania rezultatów / źródło informacji o osiągnięciu wskaźnika</w:t>
            </w:r>
          </w:p>
        </w:tc>
        <w:tc>
          <w:tcPr>
            <w:tcW w:w="6264" w:type="dxa"/>
            <w:tcBorders/>
            <w:shd w:fill="auto" w:val="clear"/>
            <w:tcMar>
              <w:left w:w="98" w:type="dxa"/>
            </w:tcMar>
          </w:tcPr>
          <w:p>
            <w:pPr>
              <w:pStyle w:val="NormalWeb"/>
              <w:numPr>
                <w:ilvl w:val="0"/>
                <w:numId w:val="2"/>
              </w:numPr>
              <w:spacing w:lineRule="auto" w:line="360" w:beforeAutospacing="0" w:before="0" w:afterAutospacing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Harmonogram dyżurów (daty, ilość osób zatrudnionych z projektu) wraz z listą obecności</w:t>
            </w:r>
          </w:p>
          <w:p>
            <w:pPr>
              <w:pStyle w:val="NormalWeb"/>
              <w:numPr>
                <w:ilvl w:val="0"/>
                <w:numId w:val="2"/>
              </w:numPr>
              <w:spacing w:lineRule="auto" w:line="360" w:beforeAutospacing="0" w:before="0" w:afterAutospacing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Oświadczenie oferenta o stanie zatrudnienia ratowników wodnych w ramach realizacji projektu.</w:t>
            </w:r>
          </w:p>
        </w:tc>
      </w:tr>
      <w:tr>
        <w:trPr/>
        <w:tc>
          <w:tcPr>
            <w:tcW w:w="2948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Okres realizacji</w:t>
            </w:r>
          </w:p>
        </w:tc>
        <w:tc>
          <w:tcPr>
            <w:tcW w:w="6264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01.05.2022r. –  30.09.2022r.</w:t>
            </w:r>
          </w:p>
        </w:tc>
      </w:tr>
      <w:tr>
        <w:trPr/>
        <w:tc>
          <w:tcPr>
            <w:tcW w:w="2948" w:type="dxa"/>
            <w:tcBorders/>
            <w:shd w:fill="auto" w:val="clear"/>
            <w:tcMar>
              <w:left w:w="98" w:type="dxa"/>
            </w:tcMar>
          </w:tcPr>
          <w:p>
            <w:pPr>
              <w:pStyle w:val="NormalWeb"/>
              <w:spacing w:lineRule="auto" w:line="360" w:beforeAutospacing="0" w:before="0" w:afterAutospacing="0" w:after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Warunki szczegółowe (np. możliwość pobierania opłat od adresatów, wymogi dotyczące lokalizacji przedsięwzięcia czy posiadanej kadry)</w:t>
            </w:r>
          </w:p>
        </w:tc>
        <w:tc>
          <w:tcPr>
            <w:tcW w:w="6264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76" w:before="0" w:after="0"/>
              <w:jc w:val="both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Style w:val="5yl5"/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 </w:t>
            </w:r>
            <w:r>
              <w:rPr>
                <w:rStyle w:val="5yl5"/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Oferent musi przedłożyć zaświadczenie o posiadaniu stosownych uprawnień przez ratowników wodnych wyznaczonych do pełnienia dyżurów, wykaz posiadanego sprzętu do realizacji zadania, harmonogramu planowanych dyżurów oraz oświadczenie oferenta o poziomie zatrudnienia personelu ratownictwa wodnego w ramach realizacji zadania. Oferent musi wykazać się minimum pięcioletnim doświadczeniem w organizacji ratownictwa wodnego </w:t>
              <w:br/>
              <w:t xml:space="preserve">i zabezpieczania kąpielisk miejskich, potwierdzonym umowami, referencjami (dopuszcza się przedłożenie kserokopii umów, referencji potwierdzonych za zgodność z oryginałem). Oferent jest zobligowany do prowadzenia kąpielisk zgodnie z wymogami określonymi w: Uchwale Nr XL/742/2022 Rady Miejskiej </w:t>
              <w:br/>
              <w:t xml:space="preserve">w Dąbrowie Górniczej z dnia 23 marca 2022 roku; Prawo wodne </w:t>
              <w:br/>
              <w:t xml:space="preserve">(t.j. Dz. U. z 2020 roku, poz. 310 z późn. zm.); rozporządzeniu Ministra Spraw Wewnętrznych z dnia 6 marca 2012 roku w sprawie sposobu oznakowania i zabezpieczania obszarów wodnych oraz wzorów znaków zakazu, nakazu oraz znaków informacyjnych (Dz. U. z 2012 roku, poz. 286 z późn. zm.); rozporządzeniu 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  <w:lang w:eastAsia="pl-PL"/>
              </w:rPr>
              <w:t xml:space="preserve">Ministra Spraw Wewnętrznych z dnia 27 lutego 2012 r. w sprawie wymagań dotyczących wyposażenia wyznaczonych obszarów wodnych </w:t>
              <w:br/>
              <w:t xml:space="preserve">w sprzęt ratunkowy i pomocniczy, urządzenia sygnalizacyjne </w:t>
              <w:br/>
              <w:t>i ostrzegawcze oraz sprzęt medyczny, leki i artykuły sanitarne (Dz. U. z 2012 r., poz. 261 ze zm.); rozporządzeniu Ministra Spraw Wewnętrznych z dnia 23 stycznia 2012 r. w sprawie minimalnych wymagań dotyczących liczby ratowników wodnych zapewniających stałą kontrolę wyznaczonego obszaru wodnego (Dz. U. z 2012 r. poz. 108 ze zm.), ustawą o Państwowym Ratownictwie Medycznym z dnia 8 września 2006 roku (Dz. U. z 2019 roku, poz. 993 z późn. zm.).</w:t>
            </w:r>
          </w:p>
          <w:p>
            <w:pPr>
              <w:pStyle w:val="NoSpacing"/>
              <w:spacing w:lineRule="auto" w:line="276" w:before="0" w:after="0"/>
              <w:jc w:val="both"/>
              <w:rPr>
                <w:rStyle w:val="5yl5"/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  <w:lang w:eastAsia="pl-PL"/>
              </w:rPr>
              <w:t xml:space="preserve">Oferent zobligowany jest do stosowania oraz przestrzegania wszelkich zasad i wymogów, obowiązujących w okresie realizacji przedmiotu zadania, związanych z pandemią korona wirusa. </w:t>
            </w:r>
            <w:r>
              <w:rPr>
                <w:rStyle w:val="5yl5"/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 </w:t>
            </w:r>
          </w:p>
          <w:p>
            <w:pPr>
              <w:pStyle w:val="NoSpacing"/>
              <w:spacing w:lineRule="auto" w:line="276" w:before="0" w:after="0"/>
              <w:jc w:val="both"/>
              <w:rPr>
                <w:rStyle w:val="5yl5"/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Style w:val="5yl5"/>
                <w:rFonts w:cs="Calibri" w:ascii="Calibri" w:hAnsi="Calibri" w:asciiTheme="minorHAnsi" w:cstheme="minorHAnsi" w:hAnsiTheme="minorHAnsi"/>
                <w:sz w:val="22"/>
                <w:szCs w:val="22"/>
              </w:rPr>
              <w:t>Oferent zobligowany jest przedstawić porozumienie zawarte z Centrum Sportu i Rekreacji w Dąbrowie Górniczej, które jest administratorem plaży Pogoria I oraz plaży i ośrodka CSLiW Pogoria III.</w:t>
            </w:r>
          </w:p>
          <w:p>
            <w:pPr>
              <w:pStyle w:val="NoSpacing"/>
              <w:spacing w:lineRule="auto" w:line="276" w:before="0" w:after="0"/>
              <w:jc w:val="both"/>
              <w:rPr>
                <w:rStyle w:val="5yl5"/>
              </w:rPr>
            </w:pPr>
            <w:r>
              <w:rPr>
                <w:rStyle w:val="5yl5"/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Nie przewiduje się pobierania opłat od adresatów zadania publicznego. </w:t>
            </w:r>
          </w:p>
          <w:p>
            <w:pPr>
              <w:pStyle w:val="NoSpacing"/>
              <w:spacing w:lineRule="auto" w:line="276" w:before="0" w:after="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Realizator zadania zobowiązani są do stosowania wszelkich środków ochrony oraz stosowania obowiązujących ustaw, rozporządzeń, wytycznych oraz zaleceń związanych z SARS-CoV 2.</w:t>
            </w:r>
          </w:p>
        </w:tc>
      </w:tr>
    </w:tbl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2. Zlecenie realizacji w/w zadań publicznych będzie miało formę wspierania tych zadań wraz                                                 z udzieleniem dotacji na dofinansowanie ich realizacji.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3. Przyznanie dotacji ma miejsce tylko w przypadku wniesienia przez Dotowanego nie mniej niż 5% wkładu własnego finansowego lub niefinansowego wkładu własnego (osobowego bądź rzeczowego). 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BodyText2"/>
        <w:widowControl/>
        <w:tabs>
          <w:tab w:val="left" w:pos="180" w:leader="none"/>
        </w:tabs>
        <w:suppressAutoHyphens w:val="false"/>
        <w:spacing w:lineRule="auto" w:line="240" w:before="0" w:after="0"/>
        <w:jc w:val="both"/>
        <w:textAlignment w:val="au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4. Zleceniobiorca jest zobowiązany zachować procentowy udział dotacji w całkowitym koszcie zadania publicznego. Obowiązek ten uważa się za zachowany jeżeli procentowy udział dotacji w całkowitym koszcie zadania publicznego nie zwiększy się o więcej niż  5 punktów procentowych. Co więcej, dopuszczalne jest dokonywanie przesunięć w zakresie ponoszonych wydatków: jeżeli dany wydatek finansowany z dotacji wykazany w sprawozdaniu z realizacji zadania publicznego nie jest równy odpowiedniemu kosztowi określonemu w umowie, to uznaje się go za zgodny z umową wtedy, gdy nie nastąpiło zwiększenie tego wydatku o więcej niż 10% otrzymanej dotacji. Naruszenie w/w postanowienia w zakresie przesunięcia w zakresie ponoszonych wydatków, uważa się za pobranie części dotacji w nadmiernej wysokości.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5. Szczegółowe zasady przyznawania i rozliczania dotacji z budżetu Gminy Dąbrowa Górnicza na realizację zadań własnych gminy i powiatu w 2022 roku określone zostały w Zarządzeniu 2072.2021 Prezydenta Miasta Dąbrowa Górnicza z dnia 04.11.2021 r. Ze szczegółowymi warunkami konkursu można zapoznać się w Wydziale Organizacji Pozarządowych i Aktywności Obywatelskiej Urzędu Miejskiego w Dąbrowie Górniczej - Centrum Aktywności Obywatelskiej w Dąbrowie Górniczej ul. Sienkiewicza 6a (pok. 9) oraz na stronach ngo.dabrowa-gornicza.pl i www.bip.dabrowa-gornicza.pl.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6. Podmiotami mogącymi ubiegać się o dotacje są: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a) organizacje pozarządowe, czyli niebędące jednostkami sektora finansów publicznych, w rozumieniu ustawy o finansach publicznych, niedziałające w celu osiągnięcia zysku – osoby prawne lub jednostki organizacyjne nieposiadające osobowości prawnej, którym odrębna ustawa przyznaje zdolność prawną, w tym fundacje i stowarzyszenia, z wyłączeniem: partii politycznych, związków zawodowych                     i organizacji pracodawców, samorządów zawodowych, fundacji utworzonych przez partie polityczne;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b) osoby prawne i jednostki organizacyjne działające na podstawie przepisów o stosunku Państwa  do Kościoła Katolickiego w Rzeczypospolitej Polskiej, o stosunku Państwa do innych kościołów                                              i związków wyznaniowych oraz o gwarancjach wolności sumienia i wyznania, jeżeli ich cele statutowe obejmują prowadzenie działalności pożytku publicznego;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c) stowarzyszenia jednostek samorządu terytorialnego;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d) spółdzielnie socjalne;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e) spółki akcyjne i spółki z ograniczoną odpowiedzialnością oraz kluby sportowe będące spółkami działającymi na podstawie przepisów ustawy z dnia 25 czerwca 2010 r. o sporcie (Dz. U. z 2019 r. poz. 1468 z późn. zm.), które nie działają w celu osiągnięcia zysku oraz przeznaczają całość dochodu na realizację celów statutowych oraz nie przeznaczają zysku do podziału między swoich udziałowców, akcjonariuszy i pracowników. 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Standard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7. . Oferta konkursowa powinna być złożona kompletna i sporządzona zgodnie ze wzorem stanowiącym załącznik nr 1 do Zasad stanowiących załącznik do Zarządzenia Nr 2072.2021 Prezydenta Miasta Dąbrowa Górnicza z dnia 04.11.2021 r. w sprawie: przyjęcia zasad przyznawania i rozliczania dotacji z budżetu gminy Dąbrowa Górnicza na realizację zadań własnych gminy i powiatu w 2021 r. w ramach art. 13 ustawy o działalności pożytku publicznego i o wolontariacie (tryb konkursowy) powinna być złożona i sporządzona wyłącznie w formie elektronicznej za pośrednictwem generatora dostępnego na stronie internetowej witkac.pl.</w:t>
      </w:r>
    </w:p>
    <w:p>
      <w:pPr>
        <w:pStyle w:val="Standard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Standard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8. Konieczne jest przesłanie skanu z potwierdzeniem złożenia oferty wygenerowanego z systemu witkac.pl zawierającym sumę kontrolną na adres:cao@dg.pl w terminie podanym w pkt 13 ogłoszenia </w:t>
      </w: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tj. 19 kwietnia godzina 16.00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. Potwierdzenie powinno być podpisane przez osoby upoważnione do reprezentacji podmiotu zgodnie z zapisami KRS. Brak przesłania skanu skutkował będzie odrzuceniem oferty. Ze względu na sytuację epidemiologiczną związaną z rozprzestrzenieniem się wirusa COVID-19 oryginał oferty należało będzie przedstawić na etapie podpisywania umowy.</w:t>
      </w:r>
    </w:p>
    <w:p>
      <w:pPr>
        <w:pStyle w:val="Standard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Standard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9. Ramowy wzór wniosku oferty realizacji zadania publicznego jest dostępny bezpośrednio  </w:t>
        <w:br/>
        <w:t>w Wydziale Organizacji Pozarządowych i Aktywności Obywatelskiej Urzędu Miejskiego w Dąbrowie Górniczej - Centrum Aktywności Obywatelskiej w Dąbrowie Górniczej ul. Sienkiewicza 6a (pok. 9) lub w wersji elektronicznej na stronach: ngo.dabrowa-gornicza.pl, www.bip.dabrowa-gornicza.pl.</w:t>
      </w:r>
    </w:p>
    <w:p>
      <w:pPr>
        <w:pStyle w:val="Standard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Standard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10. Do oferty konkursowej należy dołączyć:</w:t>
      </w:r>
    </w:p>
    <w:p>
      <w:pPr>
        <w:pStyle w:val="Standard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a) aktualny odpis z rejestru właściwego rejestru dla podmiotów, które nie podlegają obowiązkowi wpisu do KRS (dotyczy podmiotów, które nie figurują w rejestrach prowadzonych przez Urząd Miejski w Dąbrowie Górniczej).</w:t>
      </w:r>
    </w:p>
    <w:p>
      <w:pPr>
        <w:pStyle w:val="Standard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b) w przypadku organizacji zadania na obiektach nie będących własnością podmiotu dokumenty potwierdzające możliwość przeprowadzenia przedsięwzięcia we wskazanym miejscu, czyli: list intencyjny, umowę partnerską, oświadczenie właściciela obiektu/posesji.</w:t>
      </w:r>
    </w:p>
    <w:p>
      <w:pPr>
        <w:pStyle w:val="Standard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c) w przypadku wskazania partnera biorącego udział w realizacji zadania: umowę partnerską, list intencyjny lub oświadczenie partnera określające jego wkład finansowy lub niefinansowy w zadanie.</w:t>
      </w:r>
    </w:p>
    <w:p>
      <w:pPr>
        <w:pStyle w:val="Standard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d) w przypadku oferty wspólnej: umowę zawartą miedzy podmiotami, określającą zakres ich świadczeń składających się na realizację zadania publicznego, sposób reprezentacji podmiotów wobec Urzędu Miejskiego w Dąbrowie Górniczej.</w:t>
      </w:r>
    </w:p>
    <w:p>
      <w:pPr>
        <w:pStyle w:val="Standard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e) w przypadku złożenia oferty przez spółdzielnię socjalną – statut.</w:t>
      </w:r>
    </w:p>
    <w:p>
      <w:pPr>
        <w:pStyle w:val="Standard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f) w przypadku złożenia oferty przez spółkę akcyjną i spółkę z ograniczoną odpowiedzialnością lub kluby sportowe będące spółkami działającymi na podstawie przepisów ustawy z dnia 25 czerwca 2010 r. o sporcie – dokument potwierdzający działanie w formule non profit bądź not for profit.  </w:t>
      </w:r>
    </w:p>
    <w:p>
      <w:pPr>
        <w:pStyle w:val="Standard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Standard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11. Oferta musi zostać podpisana przez osoby upoważnione zgodnie ze statutem i KRS (bądź innym właściwym rejestrem). Za prawidłowe uznane zostaną: podpisy z pieczęcią imienną, wskazującą funkcję w organie reprezentującym, a w przypadku braku pieczątki odręczny czytelny podpisy ze wskazaniem funkcji w organie reprezentującym lub wydruk imienia i nazwiska ze wskazaniem funkcji w organie reprezentującym opatrzony podpisem. Nie wystarczy parafowanie dokumentu.  </w:t>
      </w:r>
    </w:p>
    <w:p>
      <w:pPr>
        <w:pStyle w:val="Standard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Standard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12. Wszelkie dokumenty powinny być złożone w postaci oryginału lub kserokopii potwierdzonej za zgodność z oryginałem i podpisane przez uprawnione osoby zgodnie ze statutem i KRS (innym rejestrem).  </w:t>
      </w:r>
    </w:p>
    <w:p>
      <w:pPr>
        <w:pStyle w:val="Standard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Standard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13. Ofertę konkursową na realizację wyżej wymienionego zadania należy złożyć w nieprzekraczalnym terminie do:  </w:t>
      </w:r>
    </w:p>
    <w:tbl>
      <w:tblPr>
        <w:tblW w:w="9062" w:type="dxa"/>
        <w:jc w:val="left"/>
        <w:tblInd w:w="8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Standard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</w:rPr>
              <w:t>19 kwietnia 2022 r.</w:t>
            </w:r>
          </w:p>
        </w:tc>
      </w:tr>
    </w:tbl>
    <w:p>
      <w:pPr>
        <w:pStyle w:val="Standard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Standard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14. Do przeprowadzenia konkursu oraz rozpatrzenia ofert na dotacje z budżetu gminy Dąbrowa Górnicza na 2022 r. powołana została komisja konkursowa. Przebieg prac komisji oraz sposób jej powołania określa Zarządzenie Nr 2072.2021 Prezydenta Miasta Dąbrowa Górnicza z dnia 04.11.2021 r.  w sprawie: przyjęcia zasad przyznawania i rozliczania dotacji z budżetu gminy Dąbrowa Górnicza na realizację zadań własnych gminy i powiatu w 2022 r. w ramach art. 13 ustawy o działalności pożytku publicznego i o wolontariacie (tryb konkursowy).</w:t>
      </w:r>
    </w:p>
    <w:p>
      <w:pPr>
        <w:pStyle w:val="Standard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 </w:t>
      </w:r>
    </w:p>
    <w:p>
      <w:pPr>
        <w:pStyle w:val="Standard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15. Przy rozpatrywaniu ofert komisja oceni złożone oferty pod względem formalnym oraz merytorycznym zgodnie z procedurą określoną w Zarządzeniu Nr 2072.2021 Prezydenta Miasta Dąbrowa Górnicza z dnia 04.11.2021 r. w sprawie: przyjęcia zasad przyznawania i rozliczania dotacji z budżetu gminy Dąbrowa Górnicza na realizację zadań własnych gminy i powiatu w 2022 r. w ramach art. 13 ustawy o działalności pożytku publicznego i o wolontariacie (tryb konkursowy).</w:t>
      </w:r>
    </w:p>
    <w:p>
      <w:pPr>
        <w:pStyle w:val="Standard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Standard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16. Wnioski będą analizowane i oceniane przez komisję konkursową pod względem formalnym oraz merytorycznym na podstawie Karty oceny wniosku w konkursie na realizację zadań własnych gminy w 2022 r., stanowiącej załącznik nr 3 do Zasad stanowiących załącznik do Zarządzenia Nr 2072.2021 Prezydenta Miasta Dąbrowa Górnicza z dnia 04.11.2021 r. w sprawie: przyjęcia zasad przyznawania </w:t>
        <w:br/>
        <w:t>i rozliczania dotacji z budżetu gminy Dąbrowa Górnicza na realizację zadań własnych gminy i powiatu w 2022 r. w ramach art. 13 ustawy o działalności pożytku publicznego i o wolontariacie (tryb konkursowy).</w:t>
      </w:r>
    </w:p>
    <w:p>
      <w:pPr>
        <w:pStyle w:val="Standard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Standard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17. Dotacja może być przyznana tylko w przypadku spełnienia przez ofertę kryteriów formalnych                       i uzyskaniu przez wniosek w ocenie merytorycznej 60% punktów.  </w:t>
      </w:r>
    </w:p>
    <w:p>
      <w:pPr>
        <w:pStyle w:val="Standard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Standard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18. Za najkorzystniejsze uznaje się oferty, które otrzymały kolejno największą liczbę punktów w danym zadaniu.  </w:t>
      </w:r>
    </w:p>
    <w:p>
      <w:pPr>
        <w:pStyle w:val="Standard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Standard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19. Na podstawie rankingu najlepiej ocenionych wniosków w danym zadaniu sporządza się listę Dotowanych z wysokością środków przyznanych na realizację zadania Gminy/Powiatu. Listę tę sporządza się do wyczerpania środków wskazanych w ogłoszeniu o konkursie.  </w:t>
      </w:r>
    </w:p>
    <w:p>
      <w:pPr>
        <w:pStyle w:val="Standard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Standard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20. Dotacja nie może zostać przyznana na kwotę mniejszą niż 50% wnioskowanej przez podmiot kwoty.  </w:t>
      </w:r>
    </w:p>
    <w:p>
      <w:pPr>
        <w:pStyle w:val="Standard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Standard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21. Oferty na realizację zadania będą rozpatrzone w  terminie do:</w:t>
      </w:r>
    </w:p>
    <w:tbl>
      <w:tblPr>
        <w:tblW w:w="9062" w:type="dxa"/>
        <w:jc w:val="left"/>
        <w:tblInd w:w="8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Standard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27 kwietnia 2022 r.</w:t>
            </w:r>
          </w:p>
        </w:tc>
      </w:tr>
    </w:tbl>
    <w:p>
      <w:pPr>
        <w:pStyle w:val="Standard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Standard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22. Zatwierdzone przez Prezydenta Miasta wyniki konkursu bez zbędnej zwłoki ogłasza się poprzez wywieszenie na tablicy ogłoszeń Urzędu Miejskiego w Dąbrowie Górniczej, na Portalu Organizacji Pozarządowych ngo.dabrowa-gornicza.pl i na stronie </w:t>
      </w:r>
      <w:hyperlink r:id="rId4">
        <w:r>
          <w:rPr>
            <w:rStyle w:val="Czeinternetowe"/>
            <w:rFonts w:cs="Calibri" w:ascii="Calibri" w:hAnsi="Calibri" w:asciiTheme="minorHAnsi" w:cstheme="minorHAnsi" w:hAnsiTheme="minorHAnsi"/>
            <w:sz w:val="22"/>
            <w:szCs w:val="22"/>
          </w:rPr>
          <w:t>www.bip.dabrowagornicza.pl</w:t>
        </w:r>
      </w:hyperlink>
      <w:r>
        <w:rPr>
          <w:rFonts w:cs="Calibri" w:ascii="Calibri" w:hAnsi="Calibri" w:asciiTheme="minorHAnsi" w:cstheme="minorHAnsi" w:hAnsiTheme="minorHAnsi"/>
          <w:sz w:val="22"/>
          <w:szCs w:val="22"/>
        </w:rPr>
        <w:t>.</w:t>
      </w:r>
    </w:p>
    <w:p>
      <w:pPr>
        <w:pStyle w:val="Standard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 </w:t>
      </w:r>
    </w:p>
    <w:p>
      <w:pPr>
        <w:pStyle w:val="Standard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23. Od podjętych decyzji nie przysługuje odwołanie.  </w:t>
      </w:r>
    </w:p>
    <w:p>
      <w:pPr>
        <w:pStyle w:val="Standard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Standard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24. Złożenie oferty nie jest jednoznaczne z przyznaniem dofinansowania.  </w:t>
      </w:r>
    </w:p>
    <w:p>
      <w:pPr>
        <w:pStyle w:val="Standard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Standard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25. W przypadku przyznania dotacji mniejszej niż wnioskowana, Dotowany dokonuje korekty oferty                    w </w:t>
      </w:r>
      <w:r>
        <w:rPr>
          <w:rFonts w:cs="Calibri" w:ascii="Calibri" w:hAnsi="Calibri" w:asciiTheme="minorHAnsi" w:cstheme="minorHAnsi" w:hAnsiTheme="minorHAnsi"/>
          <w:sz w:val="22"/>
          <w:szCs w:val="22"/>
          <w:lang w:eastAsia="pl-PL"/>
        </w:rPr>
        <w:t xml:space="preserve">zaktualizowanej kalkulacji przewidywanych kosztów realizacji zadania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stanowiącym załącznik nr 1 Zasad stanowiących załącznik do Zarządzenia Nr 2072.2021 Prezydenta Miasta Dąbrowa Górnicza z dnia 04.11.2021 r. w sprawie: przyjęcia zasad przyznawania i rozliczania dotacji z budżetu gminy Dąbrowa Górnicza na realizację zadań własnych gminy i powiatu w 2022 r. w ramach art. 13 ustawy o działalności pożytku publicznego i o wolontariacie (tryb konkursowy), polegającej na dostosowaniu zakresu merytorycznego i finansowego zadania do realnie przyznanej dotacji.</w:t>
      </w:r>
    </w:p>
    <w:p>
      <w:pPr>
        <w:pStyle w:val="Standard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                   </w:t>
      </w:r>
    </w:p>
    <w:p>
      <w:pPr>
        <w:pStyle w:val="Standard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26. Zlecenie realizacji zadania odbędzie się na podstawie zawartej umowy na realizację tego zadania.</w:t>
      </w:r>
    </w:p>
    <w:p>
      <w:pPr>
        <w:pStyle w:val="Standard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 </w:t>
      </w:r>
    </w:p>
    <w:p>
      <w:pPr>
        <w:pStyle w:val="Standard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27. Przekazane środki publiczne należy wykorzystać zgodnie z celem, na jaki zostały przeznaczone,  a w szczególności z postanowieniami umowy pod rygorem zwrotu dotacji.  </w:t>
      </w:r>
    </w:p>
    <w:p>
      <w:pPr>
        <w:pStyle w:val="Standard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Standard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28. Dysponentowi środków publicznych należy przedstawić częściowe lub końcowe sprawozdanie z wykonywania zadania.  </w:t>
      </w:r>
    </w:p>
    <w:p>
      <w:pPr>
        <w:pStyle w:val="Standard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Standard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29. Z budżetu Gminy Dąbrowa Górnicza będą pokrywane jedynie niezbędne koszty związane bezpośrednio z realizacją zadania, które wymienione są w Zarządzeniu Nr 2072.2021 Prezydenta Miasta Dąbrowa Górnicza z dnia 04.11.2021 r.  w sprawie: przyjęcia zasad przyznawania i rozliczania dotacji z budżetu gminy Dąbrowa Górnicza na realizację zadań własnych gminy i powiatu w 2022 r.     </w:t>
        <w:br/>
        <w:t>w ramach art. 13 ustawy o działalności pożytku publicznego i o wolontariacie (tryb konkursowy).</w:t>
      </w:r>
    </w:p>
    <w:p>
      <w:pPr>
        <w:pStyle w:val="Standard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Standard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30. W roku 2020 zrealizowano zadania publiczne z zakresu </w:t>
      </w:r>
      <w:r>
        <w:rPr>
          <w:rStyle w:val="Strong"/>
          <w:rFonts w:cs="Calibri" w:ascii="Calibri" w:hAnsi="Calibri" w:asciiTheme="minorHAnsi" w:cstheme="minorHAnsi" w:hAnsiTheme="minorHAnsi"/>
          <w:sz w:val="22"/>
          <w:szCs w:val="22"/>
        </w:rPr>
        <w:t>upowszechniania i rozwoju sportu, turystyki i rekreacji</w:t>
      </w: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przyznając z budżetu Gminy Dąbrowa Górnicza dotacje w wysokości:</w:t>
      </w:r>
    </w:p>
    <w:tbl>
      <w:tblPr>
        <w:tblW w:w="9062" w:type="dxa"/>
        <w:jc w:val="left"/>
        <w:tblInd w:w="8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Tretekstu"/>
              <w:spacing w:before="0" w:after="14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390 448,77 zł</w:t>
            </w:r>
          </w:p>
        </w:tc>
      </w:tr>
    </w:tbl>
    <w:p>
      <w:pPr>
        <w:pStyle w:val="Standard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cstheme="minorHAnsi"/>
          <w:sz w:val="22"/>
          <w:szCs w:val="22"/>
        </w:rPr>
        <w:t xml:space="preserve">oraz upowszechniania wiedzy i umiejętności na rzecz obronności oraz ratownictwa i ochrony ludności dotacje w zakresie ochrony kąpielisk miejskich: </w:t>
      </w:r>
      <w:r>
        <w:rPr>
          <w:rFonts w:cs="Calibri" w:ascii="Calibri" w:hAnsi="Calibri" w:cstheme="minorHAnsi"/>
          <w:b/>
          <w:sz w:val="22"/>
          <w:szCs w:val="22"/>
        </w:rPr>
        <w:t>22.000,00 zł</w:t>
      </w:r>
      <w:r>
        <w:rPr>
          <w:rFonts w:cs="Calibri" w:ascii="Calibri" w:hAnsi="Calibri" w:cstheme="minorHAnsi"/>
          <w:sz w:val="22"/>
          <w:szCs w:val="22"/>
        </w:rPr>
        <w:t xml:space="preserve"> </w:t>
      </w:r>
    </w:p>
    <w:p>
      <w:pPr>
        <w:pStyle w:val="Standard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31. W roku 2021 zrealizowano zadania publiczne z zakresu</w:t>
      </w: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 xml:space="preserve"> </w:t>
      </w:r>
      <w:r>
        <w:rPr>
          <w:rStyle w:val="Strong"/>
          <w:rFonts w:cs="Calibri" w:ascii="Calibri" w:hAnsi="Calibri" w:asciiTheme="minorHAnsi" w:cstheme="minorHAnsi" w:hAnsiTheme="minorHAnsi"/>
          <w:sz w:val="22"/>
          <w:szCs w:val="22"/>
        </w:rPr>
        <w:t>upowszechniania i rozwoju sportu, turystyki i rekreacji</w:t>
      </w:r>
      <w:r>
        <w:rPr>
          <w:rStyle w:val="Strong"/>
          <w:rFonts w:cs="Calibri" w:ascii="Calibri" w:hAnsi="Calibri" w:asciiTheme="minorHAnsi" w:cstheme="minorHAnsi" w:hAnsiTheme="minorHAnsi"/>
          <w:b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przyznając z budżetu Gminy Dąbrowa Górnicza dotacje w wysokości:</w:t>
      </w:r>
    </w:p>
    <w:tbl>
      <w:tblPr>
        <w:tblW w:w="9062" w:type="dxa"/>
        <w:jc w:val="left"/>
        <w:tblInd w:w="8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Tretekstu"/>
              <w:spacing w:before="0" w:after="14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738 929,00 zł</w:t>
            </w:r>
          </w:p>
        </w:tc>
      </w:tr>
    </w:tbl>
    <w:p>
      <w:pPr>
        <w:pStyle w:val="Standard"/>
        <w:rPr>
          <w:rFonts w:ascii="Calibri" w:hAnsi="Calibri" w:cs="Calibri" w:asciiTheme="minorHAnsi" w:cstheme="minorHAnsi" w:hAnsiTheme="minorHAnsi"/>
          <w:sz w:val="22"/>
          <w:szCs w:val="22"/>
          <w:u w:val="none"/>
        </w:rPr>
      </w:pPr>
      <w:r>
        <w:rPr>
          <w:rFonts w:cs="Calibri" w:ascii="Calibri" w:hAnsi="Calibri" w:cstheme="minorHAnsi"/>
          <w:sz w:val="22"/>
          <w:szCs w:val="22"/>
          <w:u w:val="none"/>
        </w:rPr>
        <w:t xml:space="preserve">oraz upowszechniania wiedzy i umiejętności na rzecz obronności oraz ratownictwa i ochrony ludności dotacje w zakresie ochrony kąpielisk miejskich: </w:t>
      </w:r>
      <w:r>
        <w:rPr>
          <w:rFonts w:cs="Calibri" w:ascii="Calibri" w:hAnsi="Calibri" w:cstheme="minorHAnsi"/>
          <w:b/>
          <w:sz w:val="22"/>
          <w:szCs w:val="22"/>
          <w:u w:val="none"/>
        </w:rPr>
        <w:t>210.000,00 zł</w:t>
      </w:r>
      <w:r>
        <w:rPr>
          <w:rFonts w:cs="Calibri" w:ascii="Calibri" w:hAnsi="Calibri" w:cstheme="minorHAnsi"/>
          <w:sz w:val="22"/>
          <w:szCs w:val="22"/>
          <w:u w:val="none"/>
        </w:rPr>
        <w:t xml:space="preserve"> </w:t>
      </w:r>
    </w:p>
    <w:p>
      <w:pPr>
        <w:pStyle w:val="Standard"/>
        <w:rPr>
          <w:rFonts w:ascii="Calibri" w:hAnsi="Calibri" w:cs="Calibri" w:asciiTheme="minorHAnsi" w:cstheme="minorHAnsi" w:hAnsiTheme="minorHAnsi"/>
          <w:sz w:val="22"/>
          <w:szCs w:val="22"/>
          <w:u w:val="none"/>
        </w:rPr>
      </w:pPr>
      <w:r>
        <w:rPr>
          <w:rFonts w:cs="Calibri" w:cstheme="minorHAnsi" w:ascii="Calibri" w:hAnsi="Calibri"/>
          <w:sz w:val="22"/>
          <w:szCs w:val="22"/>
          <w:u w:val="none"/>
        </w:rPr>
      </w:r>
    </w:p>
    <w:p>
      <w:pPr>
        <w:pStyle w:val="Standard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Parafowała:</w:t>
      </w:r>
    </w:p>
    <w:p>
      <w:pPr>
        <w:pStyle w:val="Standard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Magdalena Mike</w:t>
      </w:r>
    </w:p>
    <w:p>
      <w:pPr>
        <w:pStyle w:val="Standard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Z-ca Naczelnika WOP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right"/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>
          <w:rFonts w:ascii="Calibri" w:hAnsi="Calibri"/>
          <w:b w:val="false"/>
          <w:bCs w:val="false"/>
          <w:sz w:val="22"/>
          <w:szCs w:val="22"/>
        </w:rPr>
        <w:t>Prezydent Miasta</w:t>
      </w:r>
    </w:p>
    <w:p>
      <w:pPr>
        <w:pStyle w:val="Normal"/>
        <w:jc w:val="right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Marcin Bazylak</w:t>
      </w:r>
    </w:p>
    <w:sectPr>
      <w:type w:val="nextPage"/>
      <w:pgSz w:w="11906" w:h="16838"/>
      <w:pgMar w:left="1134" w:right="1133" w:header="0" w:top="851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sz w:val="22"/>
        <w:rFonts w:ascii="Calibri" w:hAnsi="Calibri" w:eastAsia="Lucida Sans Unicode" w:cs="Calibr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20774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Mangal"/>
      <w:color w:val="00000A"/>
      <w:sz w:val="24"/>
      <w:szCs w:val="24"/>
      <w:lang w:val="pl-PL" w:eastAsia="hi-IN" w:bidi="hi-IN"/>
    </w:rPr>
  </w:style>
  <w:style w:type="paragraph" w:styleId="Nagwek1">
    <w:name w:val="Heading 1"/>
    <w:basedOn w:val="Normal"/>
    <w:link w:val="Nagwek1Znak1"/>
    <w:qFormat/>
    <w:rsid w:val="00960a3a"/>
    <w:pPr>
      <w:widowControl/>
      <w:suppressAutoHyphens w:val="false"/>
      <w:spacing w:before="240" w:after="0"/>
      <w:jc w:val="right"/>
      <w:outlineLvl w:val="0"/>
    </w:pPr>
    <w:rPr>
      <w:rFonts w:eastAsia="Times New Roman" w:cs="Times New Roman"/>
      <w:b/>
      <w:bCs/>
      <w:color w:val="000000"/>
      <w:lang w:bidi="ar-SA"/>
    </w:rPr>
  </w:style>
  <w:style w:type="paragraph" w:styleId="Nagwek2">
    <w:name w:val="Heading 2"/>
    <w:basedOn w:val="Normal"/>
    <w:link w:val="Nagwek2Znak"/>
    <w:uiPriority w:val="9"/>
    <w:semiHidden/>
    <w:unhideWhenUsed/>
    <w:qFormat/>
    <w:rsid w:val="00c502e9"/>
    <w:pPr>
      <w:keepNext/>
      <w:keepLines/>
      <w:spacing w:before="40" w:after="0"/>
      <w:outlineLvl w:val="1"/>
    </w:pPr>
    <w:rPr>
      <w:rFonts w:ascii="Calibri Light" w:hAnsi="Calibri Light" w:eastAsia="" w:asciiTheme="majorHAnsi" w:eastAsiaTheme="majorEastAsia" w:hAnsiTheme="majorHAnsi"/>
      <w:color w:val="2F5496" w:themeColor="accent1" w:themeShade="bf"/>
      <w:sz w:val="26"/>
      <w:szCs w:val="23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uiPriority w:val="9"/>
    <w:qFormat/>
    <w:rsid w:val="00960a3a"/>
    <w:rPr>
      <w:rFonts w:ascii="Calibri Light" w:hAnsi="Calibri Light" w:eastAsia="" w:cs="Mangal" w:asciiTheme="majorHAnsi" w:eastAsiaTheme="majorEastAsia" w:hAnsiTheme="majorHAnsi"/>
      <w:color w:val="2F5496" w:themeColor="accent1" w:themeShade="bf"/>
      <w:sz w:val="32"/>
      <w:szCs w:val="29"/>
      <w:lang w:eastAsia="hi-IN" w:bidi="hi-IN"/>
    </w:rPr>
  </w:style>
  <w:style w:type="character" w:styleId="Nagwek1Znak1" w:customStyle="1">
    <w:name w:val="Nagłówek 1 Znak1"/>
    <w:link w:val="Nagwek1"/>
    <w:qFormat/>
    <w:rsid w:val="00960a3a"/>
    <w:rPr>
      <w:rFonts w:ascii="Times New Roman" w:hAnsi="Times New Roman" w:eastAsia="Times New Roman" w:cs="Times New Roman"/>
      <w:b/>
      <w:bCs/>
      <w:color w:val="000000"/>
      <w:sz w:val="24"/>
      <w:szCs w:val="24"/>
      <w:lang w:eastAsia="hi-IN"/>
    </w:rPr>
  </w:style>
  <w:style w:type="character" w:styleId="Strong">
    <w:name w:val="Strong"/>
    <w:basedOn w:val="DefaultParagraphFont"/>
    <w:uiPriority w:val="22"/>
    <w:qFormat/>
    <w:rsid w:val="00710f7b"/>
    <w:rPr>
      <w:b/>
      <w:bCs/>
    </w:rPr>
  </w:style>
  <w:style w:type="character" w:styleId="5yl5" w:customStyle="1">
    <w:name w:val="_5yl5"/>
    <w:basedOn w:val="DefaultParagraphFont"/>
    <w:qFormat/>
    <w:rsid w:val="00710f7b"/>
    <w:rPr/>
  </w:style>
  <w:style w:type="character" w:styleId="St" w:customStyle="1">
    <w:name w:val="st"/>
    <w:basedOn w:val="DefaultParagraphFont"/>
    <w:qFormat/>
    <w:rsid w:val="00710f7b"/>
    <w:rPr/>
  </w:style>
  <w:style w:type="character" w:styleId="Wyrnienie">
    <w:name w:val="Wyróżnienie"/>
    <w:basedOn w:val="DefaultParagraphFont"/>
    <w:uiPriority w:val="20"/>
    <w:qFormat/>
    <w:rsid w:val="00710f7b"/>
    <w:rPr>
      <w:i/>
      <w:iCs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707ff6"/>
    <w:rPr>
      <w:rFonts w:ascii="Times New Roman" w:hAnsi="Times New Roman" w:eastAsia="Lucida Sans Unicode" w:cs="Mangal"/>
      <w:color w:val="00000A"/>
      <w:sz w:val="20"/>
      <w:szCs w:val="18"/>
      <w:lang w:eastAsia="hi-IN" w:bidi="hi-IN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707ff6"/>
    <w:rPr>
      <w:vertAlign w:val="superscript"/>
    </w:rPr>
  </w:style>
  <w:style w:type="character" w:styleId="Czeinternetowe">
    <w:name w:val="Łącze internetowe"/>
    <w:rsid w:val="00906eb8"/>
    <w:rPr>
      <w:rFonts w:cs="Times New Roman"/>
      <w:color w:val="0000FF"/>
      <w:u w:val="single"/>
    </w:rPr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c502e9"/>
    <w:rPr>
      <w:rFonts w:ascii="Calibri Light" w:hAnsi="Calibri Light" w:eastAsia="" w:cs="Mangal" w:asciiTheme="majorHAnsi" w:eastAsiaTheme="majorEastAsia" w:hAnsiTheme="majorHAnsi"/>
      <w:color w:val="2F5496" w:themeColor="accent1" w:themeShade="bf"/>
      <w:sz w:val="26"/>
      <w:szCs w:val="23"/>
      <w:lang w:eastAsia="hi-IN" w:bidi="hi-IN"/>
    </w:rPr>
  </w:style>
  <w:style w:type="character" w:styleId="Tekstpodstawowy2Znak1" w:customStyle="1">
    <w:name w:val="Tekst podstawowy 2 Znak1"/>
    <w:link w:val="Tekstpodstawowy2"/>
    <w:uiPriority w:val="99"/>
    <w:qFormat/>
    <w:rsid w:val="00cc175e"/>
    <w:rPr>
      <w:rFonts w:ascii="Times New Roman" w:hAnsi="Times New Roman" w:eastAsia="Lucida Sans Unicode" w:cs="Mangal"/>
      <w:sz w:val="24"/>
      <w:szCs w:val="21"/>
      <w:lang w:val="x-none" w:eastAsia="hi-IN" w:bidi="hi-IN"/>
    </w:rPr>
  </w:style>
  <w:style w:type="character" w:styleId="Tekstpodstawowy2Znak" w:customStyle="1">
    <w:name w:val="Tekst podstawowy 2 Znak"/>
    <w:basedOn w:val="DefaultParagraphFont"/>
    <w:uiPriority w:val="99"/>
    <w:semiHidden/>
    <w:qFormat/>
    <w:rsid w:val="00cc175e"/>
    <w:rPr>
      <w:rFonts w:ascii="Times New Roman" w:hAnsi="Times New Roman" w:eastAsia="Lucida Sans Unicode" w:cs="Mangal"/>
      <w:color w:val="00000A"/>
      <w:sz w:val="24"/>
      <w:szCs w:val="21"/>
      <w:lang w:eastAsia="hi-IN" w:bidi="hi-IN"/>
    </w:rPr>
  </w:style>
  <w:style w:type="character" w:styleId="Internetlink" w:customStyle="1">
    <w:name w:val="Internet link"/>
    <w:basedOn w:val="DefaultParagraphFont"/>
    <w:qFormat/>
    <w:rsid w:val="00cc175e"/>
    <w:rPr>
      <w:color w:val="0563C1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alibri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b w:val="false"/>
    </w:rPr>
  </w:style>
  <w:style w:type="character" w:styleId="ListLabel5">
    <w:name w:val="ListLabel 5"/>
    <w:qFormat/>
    <w:rPr>
      <w:b w:val="false"/>
    </w:rPr>
  </w:style>
  <w:style w:type="character" w:styleId="ListLabel6">
    <w:name w:val="ListLabel 6"/>
    <w:qFormat/>
    <w:rPr>
      <w:b w:val="false"/>
    </w:rPr>
  </w:style>
  <w:style w:type="character" w:styleId="ListLabel7">
    <w:name w:val="ListLabel 7"/>
    <w:qFormat/>
    <w:rPr>
      <w:rFonts w:eastAsia="Lucida Sans Unicode" w:cs="Calibri"/>
      <w:sz w:val="22"/>
    </w:rPr>
  </w:style>
  <w:style w:type="character" w:styleId="ListLabel8">
    <w:name w:val="ListLabel 8"/>
    <w:qFormat/>
    <w:rPr>
      <w:b/>
    </w:rPr>
  </w:style>
  <w:style w:type="character" w:styleId="ListLabel9">
    <w:name w:val="ListLabel 9"/>
    <w:qFormat/>
    <w:rPr>
      <w:b/>
    </w:rPr>
  </w:style>
  <w:style w:type="character" w:styleId="ListLabel10">
    <w:name w:val="ListLabel 10"/>
    <w:qFormat/>
    <w:rPr>
      <w:b/>
    </w:rPr>
  </w:style>
  <w:style w:type="character" w:styleId="ListLabel11">
    <w:name w:val="ListLabel 11"/>
    <w:qFormat/>
    <w:rPr>
      <w:b/>
    </w:rPr>
  </w:style>
  <w:style w:type="character" w:styleId="ListLabel12">
    <w:name w:val="ListLabel 12"/>
    <w:qFormat/>
    <w:rPr>
      <w:b/>
    </w:rPr>
  </w:style>
  <w:style w:type="character" w:styleId="ListLabel13">
    <w:name w:val="ListLabel 13"/>
    <w:qFormat/>
    <w:rPr>
      <w:b/>
    </w:rPr>
  </w:style>
  <w:style w:type="character" w:styleId="ListLabel14">
    <w:name w:val="ListLabel 14"/>
    <w:qFormat/>
    <w:rPr>
      <w:b/>
    </w:rPr>
  </w:style>
  <w:style w:type="character" w:styleId="ListLabel15">
    <w:name w:val="ListLabel 15"/>
    <w:qFormat/>
    <w:rPr>
      <w:b/>
    </w:rPr>
  </w:style>
  <w:style w:type="character" w:styleId="ListLabel16">
    <w:name w:val="ListLabel 16"/>
    <w:qFormat/>
    <w:rPr>
      <w:rFonts w:ascii="Calibri" w:hAnsi="Calibri" w:eastAsia="Lucida Sans Unicode" w:cs="Calibri"/>
      <w:sz w:val="22"/>
    </w:rPr>
  </w:style>
  <w:style w:type="character" w:styleId="ListLabel17">
    <w:name w:val="ListLabel 17"/>
    <w:qFormat/>
    <w:rPr>
      <w:rFonts w:ascii="Calibri" w:hAnsi="Calibri" w:eastAsia="Lucida Sans Unicode" w:cs="Calibri"/>
      <w:sz w:val="22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basedOn w:val="Normal"/>
    <w:qFormat/>
    <w:rsid w:val="00020774"/>
    <w:pPr/>
    <w:rPr>
      <w:rFonts w:eastAsia="Times New Roman" w:cs="Times New Roman"/>
      <w:color w:val="000000"/>
    </w:rPr>
  </w:style>
  <w:style w:type="paragraph" w:styleId="Standard" w:customStyle="1">
    <w:name w:val="Standard"/>
    <w:qFormat/>
    <w:rsid w:val="00d7509f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00000A"/>
      <w:sz w:val="24"/>
      <w:szCs w:val="24"/>
      <w:lang w:val="pl-PL" w:eastAsia="ar-SA" w:bidi="ar-SA"/>
    </w:rPr>
  </w:style>
  <w:style w:type="paragraph" w:styleId="NormalWeb">
    <w:name w:val="Normal (Web)"/>
    <w:basedOn w:val="Normal"/>
    <w:uiPriority w:val="99"/>
    <w:unhideWhenUsed/>
    <w:qFormat/>
    <w:rsid w:val="00710f7b"/>
    <w:pPr>
      <w:widowControl/>
      <w:suppressAutoHyphens w:val="false"/>
      <w:spacing w:beforeAutospacing="1" w:afterAutospacing="1"/>
    </w:pPr>
    <w:rPr>
      <w:rFonts w:eastAsia="Times New Roman" w:cs="Times New Roman"/>
      <w:color w:val="00000A"/>
      <w:lang w:eastAsia="pl-PL" w:bidi="ar-SA"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707ff6"/>
    <w:pPr/>
    <w:rPr>
      <w:sz w:val="20"/>
      <w:szCs w:val="18"/>
    </w:rPr>
  </w:style>
  <w:style w:type="paragraph" w:styleId="ListParagraph">
    <w:name w:val="List Paragraph"/>
    <w:basedOn w:val="Normal"/>
    <w:uiPriority w:val="34"/>
    <w:qFormat/>
    <w:rsid w:val="00b143b9"/>
    <w:pPr>
      <w:spacing w:before="0" w:after="0"/>
      <w:ind w:left="720" w:hanging="0"/>
      <w:contextualSpacing/>
    </w:pPr>
    <w:rPr>
      <w:szCs w:val="21"/>
    </w:rPr>
  </w:style>
  <w:style w:type="paragraph" w:styleId="NoSpacing">
    <w:name w:val="No Spacing"/>
    <w:uiPriority w:val="1"/>
    <w:qFormat/>
    <w:rsid w:val="009d770e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Mangal"/>
      <w:color w:val="00000A"/>
      <w:sz w:val="24"/>
      <w:szCs w:val="21"/>
      <w:lang w:val="pl-PL" w:eastAsia="hi-IN" w:bidi="hi-IN"/>
    </w:rPr>
  </w:style>
  <w:style w:type="paragraph" w:styleId="Tekstpodstawowy23" w:customStyle="1">
    <w:name w:val="Tekst podstawowy 23"/>
    <w:basedOn w:val="Normal"/>
    <w:qFormat/>
    <w:rsid w:val="00906eb8"/>
    <w:pPr>
      <w:widowControl/>
      <w:jc w:val="both"/>
    </w:pPr>
    <w:rPr>
      <w:rFonts w:eastAsia="Times New Roman" w:cs="Calibri"/>
      <w:bCs/>
      <w:color w:val="00000A"/>
      <w:lang w:eastAsia="zh-CN" w:bidi="ar-SA"/>
    </w:rPr>
  </w:style>
  <w:style w:type="paragraph" w:styleId="BodyText2">
    <w:name w:val="Body Text 2"/>
    <w:basedOn w:val="Normal"/>
    <w:link w:val="Tekstpodstawowy2Znak1"/>
    <w:uiPriority w:val="99"/>
    <w:unhideWhenUsed/>
    <w:qFormat/>
    <w:rsid w:val="00cc175e"/>
    <w:pPr>
      <w:spacing w:lineRule="auto" w:line="480" w:before="0" w:after="120"/>
      <w:textAlignment w:val="baseline"/>
    </w:pPr>
    <w:rPr>
      <w:color w:val="00000A"/>
      <w:szCs w:val="21"/>
      <w:lang w:val="x-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10f7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k.gis.gov.pl/" TargetMode="External"/><Relationship Id="rId3" Type="http://schemas.openxmlformats.org/officeDocument/2006/relationships/hyperlink" Target="https://sk.gis.gov.pl/" TargetMode="External"/><Relationship Id="rId4" Type="http://schemas.openxmlformats.org/officeDocument/2006/relationships/hyperlink" Target="http://www.bip.dabrowagornicza.pl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7C567-AF13-44BF-9027-4F0867183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Application>LibreOffice/5.2.4.2$Windows_x86 LibreOffice_project/3d5603e1122f0f102b62521720ab13a38a4e0eb0</Application>
  <Pages>9</Pages>
  <Words>3203</Words>
  <Characters>20194</Characters>
  <CharactersWithSpaces>23562</CharactersWithSpaces>
  <Paragraphs>113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2022-03-24T15:08:00Z</dcterms:created>
  <dc:creator>Ewa Buraczewska</dc:creator>
  <dc:description/>
  <dc:language>pl-PL</dc:language>
  <cp:lastModifiedBy/>
  <cp:lastPrinted>2021-03-25T08:58:00Z</cp:lastPrinted>
  <dcterms:modified xsi:type="dcterms:W3CDTF">2022-03-30T13:47:59Z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