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sz w:val="20"/>
          <w:szCs w:val="20"/>
        </w:rPr>
      </w:pPr>
      <w:r>
        <w:rPr>
          <w:rFonts w:cs="Calibri" w:cstheme="minorHAnsi"/>
          <w:b/>
          <w:sz w:val="20"/>
          <w:szCs w:val="20"/>
        </w:rPr>
        <w:t>OGŁOSZENIE  Nr 13</w:t>
      </w:r>
    </w:p>
    <w:p>
      <w:pPr>
        <w:pStyle w:val="Normal"/>
        <w:jc w:val="center"/>
        <w:rPr>
          <w:rFonts w:cs="Calibri" w:cstheme="minorHAnsi"/>
          <w:b/>
          <w:b/>
          <w:sz w:val="20"/>
          <w:szCs w:val="20"/>
        </w:rPr>
      </w:pPr>
      <w:r>
        <w:rPr>
          <w:rFonts w:cs="Calibri" w:cstheme="minorHAnsi"/>
          <w:b/>
          <w:sz w:val="20"/>
          <w:szCs w:val="20"/>
        </w:rPr>
        <w:t>O KONKURSIE OFERT NA DOTACJE w 2022 r.</w:t>
      </w:r>
    </w:p>
    <w:p>
      <w:pPr>
        <w:pStyle w:val="Normal"/>
        <w:rPr>
          <w:rFonts w:cs="Calibri" w:cstheme="minorHAnsi"/>
          <w:sz w:val="20"/>
          <w:szCs w:val="20"/>
        </w:rPr>
      </w:pPr>
      <w:r>
        <w:rPr>
          <w:rFonts w:cs="Calibri" w:cstheme="minorHAnsi"/>
          <w:sz w:val="20"/>
          <w:szCs w:val="20"/>
        </w:rPr>
      </w:r>
    </w:p>
    <w:p>
      <w:pPr>
        <w:pStyle w:val="Nagwek2"/>
        <w:spacing w:before="0" w:after="0"/>
        <w:rPr>
          <w:rFonts w:ascii="Calibri" w:hAnsi="Calibri" w:cs="Calibri" w:asciiTheme="minorHAnsi" w:cstheme="minorHAnsi" w:hAnsiTheme="minorHAnsi"/>
          <w:b w:val="false"/>
          <w:b w:val="false"/>
          <w:i w:val="false"/>
          <w:i w:val="false"/>
          <w:sz w:val="20"/>
          <w:szCs w:val="20"/>
        </w:rPr>
      </w:pPr>
      <w:r>
        <w:rPr>
          <w:rFonts w:cs="Calibri" w:ascii="Calibri" w:hAnsi="Calibri" w:asciiTheme="minorHAnsi" w:cstheme="minorHAnsi" w:hAnsiTheme="minorHAnsi"/>
          <w:b w:val="false"/>
          <w:i w:val="false"/>
          <w:sz w:val="20"/>
          <w:szCs w:val="20"/>
        </w:rPr>
        <w:t>Na podstawie art. 30 ust. 1 ustawy z dnia 8 marca 1990 r. o samorządzie gminnym  (tj. Dz. U. z 20</w:t>
      </w:r>
      <w:r>
        <w:rPr>
          <w:rFonts w:cs="Calibri" w:ascii="Calibri" w:hAnsi="Calibri" w:asciiTheme="minorHAnsi" w:cstheme="minorHAnsi" w:hAnsiTheme="minorHAnsi"/>
          <w:b w:val="false"/>
          <w:i w:val="false"/>
          <w:sz w:val="20"/>
          <w:szCs w:val="20"/>
          <w:lang w:val="pl-PL"/>
        </w:rPr>
        <w:t>21</w:t>
      </w:r>
      <w:r>
        <w:rPr>
          <w:rFonts w:cs="Calibri" w:ascii="Calibri" w:hAnsi="Calibri" w:asciiTheme="minorHAnsi" w:cstheme="minorHAnsi" w:hAnsiTheme="minorHAnsi"/>
          <w:b w:val="false"/>
          <w:i w:val="false"/>
          <w:sz w:val="20"/>
          <w:szCs w:val="20"/>
        </w:rPr>
        <w:t xml:space="preserve"> r. poz. </w:t>
      </w:r>
      <w:r>
        <w:rPr>
          <w:rFonts w:cs="Calibri" w:ascii="Calibri" w:hAnsi="Calibri" w:asciiTheme="minorHAnsi" w:cstheme="minorHAnsi" w:hAnsiTheme="minorHAnsi"/>
          <w:b w:val="false"/>
          <w:i w:val="false"/>
          <w:sz w:val="20"/>
          <w:szCs w:val="20"/>
          <w:lang w:val="pl-PL"/>
        </w:rPr>
        <w:t>1372</w:t>
      </w:r>
      <w:r>
        <w:rPr>
          <w:rFonts w:cs="Calibri" w:ascii="Calibri" w:hAnsi="Calibri" w:asciiTheme="minorHAnsi" w:cstheme="minorHAnsi" w:hAnsiTheme="minorHAnsi"/>
          <w:b w:val="false"/>
          <w:i w:val="false"/>
          <w:sz w:val="20"/>
          <w:szCs w:val="20"/>
        </w:rPr>
        <w:t xml:space="preserve"> z późn. zm.)</w:t>
      </w:r>
      <w:r>
        <w:rPr>
          <w:rFonts w:cs="Calibri" w:ascii="Calibri" w:hAnsi="Calibri" w:asciiTheme="minorHAnsi" w:cstheme="minorHAnsi" w:hAnsiTheme="minorHAnsi"/>
          <w:b w:val="false"/>
          <w:i w:val="false"/>
          <w:sz w:val="20"/>
          <w:szCs w:val="20"/>
          <w:lang w:val="pl-PL"/>
        </w:rPr>
        <w:t>,</w:t>
      </w:r>
      <w:r>
        <w:rPr>
          <w:rFonts w:cs="Calibri" w:ascii="Calibri" w:hAnsi="Calibri" w:asciiTheme="minorHAnsi" w:cstheme="minorHAnsi" w:hAnsiTheme="minorHAnsi"/>
          <w:b w:val="false"/>
          <w:i w:val="false"/>
          <w:sz w:val="20"/>
          <w:szCs w:val="20"/>
        </w:rPr>
        <w:t xml:space="preserve"> art. 15 ust. 2d ustawy z dnia 24 kwietnia 2003</w:t>
      </w:r>
      <w:r>
        <w:rPr>
          <w:rFonts w:cs="Calibri" w:ascii="Calibri" w:hAnsi="Calibri" w:asciiTheme="minorHAnsi" w:cstheme="minorHAnsi" w:hAnsiTheme="minorHAnsi"/>
          <w:b w:val="false"/>
          <w:i w:val="false"/>
          <w:sz w:val="20"/>
          <w:szCs w:val="20"/>
          <w:lang w:val="pl-PL"/>
        </w:rPr>
        <w:t xml:space="preserve"> </w:t>
      </w:r>
      <w:r>
        <w:rPr>
          <w:rFonts w:cs="Calibri" w:ascii="Calibri" w:hAnsi="Calibri" w:asciiTheme="minorHAnsi" w:cstheme="minorHAnsi" w:hAnsiTheme="minorHAnsi"/>
          <w:b w:val="false"/>
          <w:i w:val="false"/>
          <w:sz w:val="20"/>
          <w:szCs w:val="20"/>
        </w:rPr>
        <w:t>r. o działalności pożytku publicznego i o wolontariacie (tj. Dz. U. 20</w:t>
      </w:r>
      <w:r>
        <w:rPr>
          <w:rFonts w:cs="Calibri" w:ascii="Calibri" w:hAnsi="Calibri" w:asciiTheme="minorHAnsi" w:cstheme="minorHAnsi" w:hAnsiTheme="minorHAnsi"/>
          <w:b w:val="false"/>
          <w:i w:val="false"/>
          <w:sz w:val="20"/>
          <w:szCs w:val="20"/>
          <w:lang w:val="pl-PL"/>
        </w:rPr>
        <w:t>20</w:t>
      </w:r>
      <w:r>
        <w:rPr>
          <w:rFonts w:cs="Calibri" w:ascii="Calibri" w:hAnsi="Calibri" w:asciiTheme="minorHAnsi" w:cstheme="minorHAnsi" w:hAnsiTheme="minorHAnsi"/>
          <w:b w:val="false"/>
          <w:i w:val="false"/>
          <w:sz w:val="20"/>
          <w:szCs w:val="20"/>
        </w:rPr>
        <w:t xml:space="preserve"> poz.</w:t>
      </w:r>
      <w:r>
        <w:rPr>
          <w:rFonts w:cs="Calibri" w:ascii="Calibri" w:hAnsi="Calibri" w:asciiTheme="minorHAnsi" w:cstheme="minorHAnsi" w:hAnsiTheme="minorHAnsi"/>
          <w:b w:val="false"/>
          <w:i w:val="false"/>
          <w:sz w:val="20"/>
          <w:szCs w:val="20"/>
          <w:lang w:val="pl-PL"/>
        </w:rPr>
        <w:t xml:space="preserve"> 1057</w:t>
      </w:r>
      <w:r>
        <w:rPr>
          <w:rFonts w:cs="Calibri" w:ascii="Calibri" w:hAnsi="Calibri" w:asciiTheme="minorHAnsi" w:cstheme="minorHAnsi" w:hAnsiTheme="minorHAnsi"/>
          <w:b w:val="false"/>
          <w:i w:val="false"/>
          <w:sz w:val="20"/>
          <w:szCs w:val="20"/>
        </w:rPr>
        <w:t xml:space="preserve"> z późn. zm</w:t>
      </w:r>
      <w:r>
        <w:rPr>
          <w:rFonts w:cs="Calibri" w:ascii="Calibri" w:hAnsi="Calibri" w:asciiTheme="minorHAnsi" w:cstheme="minorHAnsi" w:hAnsiTheme="minorHAnsi"/>
          <w:b w:val="false"/>
          <w:i w:val="false"/>
          <w:sz w:val="20"/>
          <w:szCs w:val="20"/>
          <w:lang w:val="pl-PL"/>
        </w:rPr>
        <w:t>.</w:t>
      </w:r>
      <w:r>
        <w:rPr>
          <w:rFonts w:cs="Calibri" w:ascii="Calibri" w:hAnsi="Calibri" w:asciiTheme="minorHAnsi" w:cstheme="minorHAnsi" w:hAnsiTheme="minorHAnsi"/>
          <w:b w:val="false"/>
          <w:i w:val="false"/>
          <w:sz w:val="20"/>
          <w:szCs w:val="20"/>
        </w:rPr>
        <w:t xml:space="preserve">)  oraz w związku z Uchwałą </w:t>
        <w:br/>
        <w:t xml:space="preserve">nr </w:t>
      </w:r>
      <w:r>
        <w:rPr>
          <w:rFonts w:cs="Calibri" w:ascii="Calibri" w:hAnsi="Calibri" w:asciiTheme="minorHAnsi" w:cstheme="minorHAnsi" w:hAnsiTheme="minorHAnsi"/>
          <w:b w:val="false"/>
          <w:i w:val="false"/>
          <w:sz w:val="20"/>
          <w:szCs w:val="20"/>
          <w:lang w:val="pl-PL"/>
        </w:rPr>
        <w:t>XXXIV</w:t>
      </w:r>
      <w:r>
        <w:rPr>
          <w:rFonts w:cs="Calibri" w:ascii="Calibri" w:hAnsi="Calibri" w:asciiTheme="minorHAnsi" w:cstheme="minorHAnsi" w:hAnsiTheme="minorHAnsi"/>
          <w:b w:val="false"/>
          <w:i w:val="false"/>
          <w:sz w:val="20"/>
          <w:szCs w:val="20"/>
        </w:rPr>
        <w:t>/</w:t>
      </w:r>
      <w:r>
        <w:rPr>
          <w:rFonts w:cs="Calibri" w:ascii="Calibri" w:hAnsi="Calibri" w:asciiTheme="minorHAnsi" w:cstheme="minorHAnsi" w:hAnsiTheme="minorHAnsi"/>
          <w:b w:val="false"/>
          <w:i w:val="false"/>
          <w:sz w:val="20"/>
          <w:szCs w:val="20"/>
          <w:lang w:val="pl-PL"/>
        </w:rPr>
        <w:t>666</w:t>
      </w:r>
      <w:r>
        <w:rPr>
          <w:rFonts w:cs="Calibri" w:ascii="Calibri" w:hAnsi="Calibri" w:asciiTheme="minorHAnsi" w:cstheme="minorHAnsi" w:hAnsiTheme="minorHAnsi"/>
          <w:b w:val="false"/>
          <w:i w:val="false"/>
          <w:sz w:val="20"/>
          <w:szCs w:val="20"/>
        </w:rPr>
        <w:t>/20</w:t>
      </w:r>
      <w:r>
        <w:rPr>
          <w:rFonts w:cs="Calibri" w:ascii="Calibri" w:hAnsi="Calibri" w:asciiTheme="minorHAnsi" w:cstheme="minorHAnsi" w:hAnsiTheme="minorHAnsi"/>
          <w:b w:val="false"/>
          <w:i w:val="false"/>
          <w:sz w:val="20"/>
          <w:szCs w:val="20"/>
          <w:lang w:val="pl-PL"/>
        </w:rPr>
        <w:t>21</w:t>
      </w:r>
      <w:r>
        <w:rPr>
          <w:rFonts w:cs="Calibri" w:ascii="Calibri" w:hAnsi="Calibri" w:asciiTheme="minorHAnsi" w:cstheme="minorHAnsi" w:hAnsiTheme="minorHAnsi"/>
          <w:b w:val="false"/>
          <w:i w:val="false"/>
          <w:sz w:val="20"/>
          <w:szCs w:val="20"/>
        </w:rPr>
        <w:t xml:space="preserve"> Rady Miejskiej w Dąbrowie Górniczej z dnia 2</w:t>
      </w:r>
      <w:r>
        <w:rPr>
          <w:rFonts w:cs="Calibri" w:ascii="Calibri" w:hAnsi="Calibri" w:asciiTheme="minorHAnsi" w:cstheme="minorHAnsi" w:hAnsiTheme="minorHAnsi"/>
          <w:b w:val="false"/>
          <w:i w:val="false"/>
          <w:sz w:val="20"/>
          <w:szCs w:val="20"/>
          <w:lang w:val="pl-PL"/>
        </w:rPr>
        <w:t>7</w:t>
      </w:r>
      <w:r>
        <w:rPr>
          <w:rFonts w:cs="Calibri" w:ascii="Calibri" w:hAnsi="Calibri" w:asciiTheme="minorHAnsi" w:cstheme="minorHAnsi" w:hAnsiTheme="minorHAnsi"/>
          <w:b w:val="false"/>
          <w:i w:val="false"/>
          <w:sz w:val="20"/>
          <w:szCs w:val="20"/>
        </w:rPr>
        <w:t xml:space="preserve"> </w:t>
      </w:r>
      <w:r>
        <w:rPr>
          <w:rFonts w:cs="Calibri" w:ascii="Calibri" w:hAnsi="Calibri" w:asciiTheme="minorHAnsi" w:cstheme="minorHAnsi" w:hAnsiTheme="minorHAnsi"/>
          <w:b w:val="false"/>
          <w:i w:val="false"/>
          <w:sz w:val="20"/>
          <w:szCs w:val="20"/>
          <w:lang w:val="pl-PL"/>
        </w:rPr>
        <w:t>października</w:t>
      </w:r>
      <w:r>
        <w:rPr>
          <w:rFonts w:cs="Calibri" w:ascii="Calibri" w:hAnsi="Calibri" w:asciiTheme="minorHAnsi" w:cstheme="minorHAnsi" w:hAnsiTheme="minorHAnsi"/>
          <w:b w:val="false"/>
          <w:i w:val="false"/>
          <w:sz w:val="20"/>
          <w:szCs w:val="20"/>
        </w:rPr>
        <w:t xml:space="preserve"> 20</w:t>
      </w:r>
      <w:r>
        <w:rPr>
          <w:rFonts w:cs="Calibri" w:ascii="Calibri" w:hAnsi="Calibri" w:asciiTheme="minorHAnsi" w:cstheme="minorHAnsi" w:hAnsiTheme="minorHAnsi"/>
          <w:b w:val="false"/>
          <w:i w:val="false"/>
          <w:sz w:val="20"/>
          <w:szCs w:val="20"/>
          <w:lang w:val="pl-PL"/>
        </w:rPr>
        <w:t>21</w:t>
      </w:r>
      <w:r>
        <w:rPr>
          <w:rFonts w:cs="Calibri" w:ascii="Calibri" w:hAnsi="Calibri" w:asciiTheme="minorHAnsi" w:cstheme="minorHAnsi" w:hAnsiTheme="minorHAnsi"/>
          <w:b w:val="false"/>
          <w:i w:val="false"/>
          <w:sz w:val="20"/>
          <w:szCs w:val="20"/>
        </w:rPr>
        <w:t xml:space="preserve"> r. w sprawie przyjęcia "Programu współpracy Gminy Dąbrowa Górnicza z organizacjami pozarządowymi oraz innymi podmiotami prowadzącymi działalność pożytku publicznego na rok 202</w:t>
      </w:r>
      <w:r>
        <w:rPr>
          <w:rFonts w:cs="Calibri" w:ascii="Calibri" w:hAnsi="Calibri" w:asciiTheme="minorHAnsi" w:cstheme="minorHAnsi" w:hAnsiTheme="minorHAnsi"/>
          <w:b w:val="false"/>
          <w:i w:val="false"/>
          <w:sz w:val="20"/>
          <w:szCs w:val="20"/>
          <w:lang w:val="pl-PL"/>
        </w:rPr>
        <w:t>2</w:t>
      </w:r>
      <w:r>
        <w:rPr>
          <w:rFonts w:cs="Calibri" w:ascii="Calibri" w:hAnsi="Calibri" w:asciiTheme="minorHAnsi" w:cstheme="minorHAnsi" w:hAnsiTheme="minorHAnsi"/>
          <w:b w:val="false"/>
          <w:i w:val="false"/>
          <w:sz w:val="20"/>
          <w:szCs w:val="20"/>
        </w:rPr>
        <w:t xml:space="preserve">" oraz zgodnie </w:t>
        <w:br/>
        <w:t xml:space="preserve">z Zarządzeniem Nr </w:t>
      </w:r>
      <w:r>
        <w:rPr>
          <w:rFonts w:cs="Calibri" w:ascii="Calibri" w:hAnsi="Calibri" w:asciiTheme="minorHAnsi" w:cstheme="minorHAnsi" w:hAnsiTheme="minorHAnsi"/>
          <w:b w:val="false"/>
          <w:i w:val="false"/>
          <w:sz w:val="20"/>
          <w:szCs w:val="20"/>
          <w:lang w:val="pl-PL"/>
        </w:rPr>
        <w:t>2072.2021</w:t>
      </w:r>
      <w:r>
        <w:rPr>
          <w:rFonts w:cs="Calibri" w:ascii="Calibri" w:hAnsi="Calibri" w:asciiTheme="minorHAnsi" w:cstheme="minorHAnsi" w:hAnsiTheme="minorHAnsi"/>
          <w:b w:val="false"/>
          <w:i w:val="false"/>
          <w:sz w:val="20"/>
          <w:szCs w:val="20"/>
        </w:rPr>
        <w:t xml:space="preserve"> </w:t>
      </w:r>
      <w:r>
        <w:rPr>
          <w:rFonts w:cs="Calibri" w:ascii="Calibri" w:hAnsi="Calibri" w:asciiTheme="minorHAnsi" w:cstheme="minorHAnsi" w:hAnsiTheme="minorHAnsi"/>
          <w:b w:val="false"/>
          <w:i w:val="false"/>
          <w:sz w:val="20"/>
          <w:szCs w:val="20"/>
          <w:lang w:val="pl-PL"/>
        </w:rPr>
        <w:t xml:space="preserve">Prezydenta Miasta Dąbrowa Górnicza </w:t>
      </w:r>
      <w:r>
        <w:rPr>
          <w:rFonts w:cs="Calibri" w:ascii="Calibri" w:hAnsi="Calibri" w:asciiTheme="minorHAnsi" w:cstheme="minorHAnsi" w:hAnsiTheme="minorHAnsi"/>
          <w:b w:val="false"/>
          <w:i w:val="false"/>
          <w:sz w:val="20"/>
          <w:szCs w:val="20"/>
        </w:rPr>
        <w:t xml:space="preserve">z dnia </w:t>
      </w:r>
      <w:r>
        <w:rPr>
          <w:rFonts w:cs="Calibri" w:ascii="Calibri" w:hAnsi="Calibri" w:asciiTheme="minorHAnsi" w:cstheme="minorHAnsi" w:hAnsiTheme="minorHAnsi"/>
          <w:b w:val="false"/>
          <w:i w:val="false"/>
          <w:sz w:val="20"/>
          <w:szCs w:val="20"/>
          <w:lang w:val="pl-PL"/>
        </w:rPr>
        <w:t>4 listopada 2021 r.</w:t>
      </w:r>
      <w:r>
        <w:rPr>
          <w:rFonts w:cs="Calibri" w:ascii="Calibri" w:hAnsi="Calibri" w:asciiTheme="minorHAnsi" w:cstheme="minorHAnsi" w:hAnsiTheme="minorHAnsi"/>
          <w:b w:val="false"/>
          <w:i w:val="false"/>
          <w:sz w:val="20"/>
          <w:szCs w:val="20"/>
        </w:rPr>
        <w:t xml:space="preserve"> </w:t>
        <w:br/>
        <w:t>w sprawie: przyjęcia zasad przyznawania i rozliczania dotacji z budżetu gminy Dąbrowa Górnicza na realizację zadań własnych gminy i powiatu w 202</w:t>
      </w:r>
      <w:r>
        <w:rPr>
          <w:rFonts w:cs="Calibri" w:ascii="Calibri" w:hAnsi="Calibri" w:asciiTheme="minorHAnsi" w:cstheme="minorHAnsi" w:hAnsiTheme="minorHAnsi"/>
          <w:b w:val="false"/>
          <w:i w:val="false"/>
          <w:sz w:val="20"/>
          <w:szCs w:val="20"/>
          <w:lang w:val="pl-PL"/>
        </w:rPr>
        <w:t>2</w:t>
      </w:r>
      <w:r>
        <w:rPr>
          <w:rFonts w:cs="Calibri" w:ascii="Calibri" w:hAnsi="Calibri" w:asciiTheme="minorHAnsi" w:cstheme="minorHAnsi" w:hAnsiTheme="minorHAnsi"/>
          <w:b w:val="false"/>
          <w:i w:val="false"/>
          <w:sz w:val="20"/>
          <w:szCs w:val="20"/>
        </w:rPr>
        <w:t xml:space="preserve"> r. w ramach art. 13 ustawy o działalności pożytku publicznego i o wolontariacie (tryb konkursowy).</w:t>
      </w:r>
    </w:p>
    <w:p>
      <w:pPr>
        <w:pStyle w:val="Normal"/>
        <w:jc w:val="center"/>
        <w:rPr>
          <w:rFonts w:cs="Calibri" w:cstheme="minorHAnsi"/>
          <w:sz w:val="20"/>
          <w:szCs w:val="20"/>
        </w:rPr>
      </w:pPr>
      <w:r>
        <w:rPr>
          <w:rFonts w:cs="Calibri" w:cstheme="minorHAnsi"/>
          <w:sz w:val="20"/>
          <w:szCs w:val="20"/>
        </w:rPr>
        <w:br/>
      </w:r>
      <w:r>
        <w:rPr>
          <w:rFonts w:cs="Calibri" w:cstheme="minorHAnsi"/>
          <w:b/>
          <w:sz w:val="20"/>
          <w:szCs w:val="20"/>
        </w:rPr>
        <w:t xml:space="preserve">PREZYDENT MIASTA DĄBROWA GÓRNICZA ogłasza  II otwarty konkurs ofert na dotacje z budżetu miasta na realizację w 2022 r. proponowanych poniżej zadań własnych gminy z zakresu  </w:t>
      </w:r>
      <w:r>
        <w:rPr>
          <w:rFonts w:eastAsia="Calibri" w:cs="Calibri" w:cstheme="minorHAnsi"/>
          <w:b/>
          <w:bCs/>
          <w:color w:val="000000"/>
          <w:sz w:val="20"/>
          <w:szCs w:val="20"/>
        </w:rPr>
        <w:t>kultury i sztuki</w:t>
      </w:r>
      <w:r>
        <w:rPr>
          <w:rFonts w:cs="Calibri" w:cstheme="minorHAnsi"/>
          <w:b/>
          <w:bCs/>
          <w:color w:val="000000"/>
          <w:sz w:val="20"/>
          <w:szCs w:val="20"/>
        </w:rPr>
        <w:t>/promocji miasta</w:t>
      </w:r>
    </w:p>
    <w:p>
      <w:pPr>
        <w:pStyle w:val="Normal"/>
        <w:rPr>
          <w:rFonts w:cs="Calibri" w:cstheme="minorHAnsi"/>
          <w:b/>
          <w:b/>
          <w:sz w:val="20"/>
          <w:szCs w:val="20"/>
        </w:rPr>
      </w:pPr>
      <w:r>
        <w:rPr>
          <w:rFonts w:cs="Calibri" w:cstheme="minorHAnsi"/>
          <w:sz w:val="20"/>
          <w:szCs w:val="20"/>
        </w:rPr>
        <w:t xml:space="preserve">                </w:t>
      </w:r>
    </w:p>
    <w:p>
      <w:pPr>
        <w:pStyle w:val="Normal"/>
        <w:rPr>
          <w:rFonts w:cs="Calibri" w:cstheme="minorHAnsi"/>
          <w:sz w:val="20"/>
          <w:szCs w:val="20"/>
        </w:rPr>
      </w:pPr>
      <w:r>
        <w:rPr>
          <w:rFonts w:cs="Calibri" w:cstheme="minorHAnsi"/>
          <w:sz w:val="20"/>
          <w:szCs w:val="20"/>
        </w:rPr>
        <w:t xml:space="preserve">1. Celem konkursu jest wyłonienie podmiotu do realizacji zadania publicznego Gminy Dąbrowa Górnicza w roku 2022 z zakresu </w:t>
      </w:r>
      <w:r>
        <w:rPr>
          <w:rFonts w:eastAsia="Calibri" w:cs="Calibri" w:cstheme="minorHAnsi"/>
          <w:b/>
          <w:bCs/>
          <w:color w:val="000000"/>
          <w:sz w:val="20"/>
          <w:szCs w:val="20"/>
        </w:rPr>
        <w:t>kultury i sztuki</w:t>
      </w:r>
      <w:r>
        <w:rPr>
          <w:rFonts w:cs="Calibri" w:cstheme="minorHAnsi"/>
          <w:b/>
          <w:bCs/>
          <w:color w:val="000000"/>
          <w:sz w:val="20"/>
          <w:szCs w:val="20"/>
        </w:rPr>
        <w:t xml:space="preserve">/promocji miasta </w:t>
      </w:r>
      <w:r>
        <w:rPr>
          <w:rFonts w:cs="Calibri" w:cstheme="minorHAnsi"/>
          <w:sz w:val="20"/>
          <w:szCs w:val="20"/>
        </w:rPr>
        <w:t xml:space="preserve">pod nazwą: </w:t>
      </w:r>
    </w:p>
    <w:p>
      <w:pPr>
        <w:pStyle w:val="Normal"/>
        <w:jc w:val="both"/>
        <w:rPr>
          <w:rFonts w:cs="Calibri" w:cstheme="minorHAnsi"/>
          <w:sz w:val="20"/>
          <w:szCs w:val="20"/>
        </w:rPr>
      </w:pPr>
      <w:r>
        <w:rPr>
          <w:rStyle w:val="Annotationreference"/>
          <w:rFonts w:cs="Calibri" w:cstheme="minorHAnsi"/>
          <w:b/>
          <w:sz w:val="20"/>
          <w:szCs w:val="20"/>
        </w:rPr>
        <w:t xml:space="preserve">1.1. Prowadzenie Miejskiego sklepu internetowego z pamiątkami i gadżetami miejskimi </w:t>
      </w:r>
    </w:p>
    <w:p>
      <w:pPr>
        <w:pStyle w:val="NormalWeb"/>
        <w:spacing w:lineRule="auto" w:line="360" w:before="0" w:after="0"/>
        <w:rPr>
          <w:rFonts w:ascii="Calibri" w:hAnsi="Calibri" w:cs="Calibri" w:asciiTheme="minorHAnsi" w:cstheme="minorHAnsi" w:hAnsiTheme="minorHAnsi"/>
          <w:sz w:val="20"/>
          <w:szCs w:val="20"/>
        </w:rPr>
      </w:pPr>
      <w:r>
        <w:rPr>
          <w:rFonts w:cs="Calibri" w:cstheme="minorHAnsi" w:ascii="Calibri" w:hAnsi="Calibri"/>
          <w:sz w:val="20"/>
          <w:szCs w:val="20"/>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591"/>
        <w:gridCol w:w="5470"/>
      </w:tblGrid>
      <w:tr>
        <w:trPr/>
        <w:tc>
          <w:tcPr>
            <w:tcW w:w="3591" w:type="dxa"/>
            <w:tcBorders/>
            <w:shd w:fill="auto" w:val="clear"/>
            <w:tcMar>
              <w:left w:w="108" w:type="dxa"/>
            </w:tcMar>
            <w:vAlign w:val="center"/>
          </w:tcPr>
          <w:p>
            <w:pPr>
              <w:pStyle w:val="NormalWeb"/>
              <w:spacing w:lineRule="auto" w:line="36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Web"/>
              <w:spacing w:lineRule="auto" w:line="36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Nazwa zadania</w:t>
            </w:r>
          </w:p>
        </w:tc>
        <w:tc>
          <w:tcPr>
            <w:tcW w:w="5470" w:type="dxa"/>
            <w:tcBorders/>
            <w:shd w:fill="auto" w:val="clear"/>
            <w:tcMar>
              <w:left w:w="108" w:type="dxa"/>
            </w:tcMar>
            <w:vAlign w:val="center"/>
          </w:tcPr>
          <w:p>
            <w:pPr>
              <w:pStyle w:val="NormalWeb"/>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Prowadzenie Miejskiego sklepu internetowego z pamiątkami i gadżetami miejskimi</w:t>
            </w:r>
          </w:p>
        </w:tc>
      </w:tr>
      <w:tr>
        <w:trPr>
          <w:trHeight w:val="488" w:hRule="atLeast"/>
        </w:trPr>
        <w:tc>
          <w:tcPr>
            <w:tcW w:w="3591" w:type="dxa"/>
            <w:vMerge w:val="restart"/>
            <w:tcBorders/>
            <w:shd w:fill="auto" w:val="clear"/>
            <w:tcMar>
              <w:left w:w="108" w:type="dxa"/>
            </w:tcMar>
            <w:vAlign w:val="center"/>
          </w:tcPr>
          <w:p>
            <w:pPr>
              <w:pStyle w:val="NormalWeb"/>
              <w:spacing w:lineRule="auto" w:line="36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Kwota przeznaczona na zadanie</w:t>
            </w:r>
          </w:p>
        </w:tc>
        <w:tc>
          <w:tcPr>
            <w:tcW w:w="5470" w:type="dxa"/>
            <w:tcBorders/>
            <w:shd w:fill="auto" w:val="clear"/>
            <w:tcMar>
              <w:left w:w="108" w:type="dxa"/>
            </w:tcMar>
            <w:vAlign w:val="center"/>
          </w:tcPr>
          <w:p>
            <w:pPr>
              <w:pStyle w:val="Normal"/>
              <w:rPr>
                <w:rFonts w:cs="Calibri" w:cstheme="minorHAnsi"/>
                <w:sz w:val="20"/>
                <w:szCs w:val="20"/>
              </w:rPr>
            </w:pPr>
            <w:r>
              <w:rPr>
                <w:rFonts w:cs="Calibri" w:cstheme="minorHAnsi"/>
                <w:sz w:val="20"/>
                <w:szCs w:val="20"/>
              </w:rPr>
              <w:t>110 000,00 zł</w:t>
            </w:r>
          </w:p>
        </w:tc>
      </w:tr>
      <w:tr>
        <w:trPr>
          <w:trHeight w:val="487" w:hRule="atLeast"/>
        </w:trPr>
        <w:tc>
          <w:tcPr>
            <w:tcW w:w="3591" w:type="dxa"/>
            <w:vMerge w:val="continue"/>
            <w:tcBorders/>
            <w:shd w:fill="auto" w:val="clear"/>
            <w:tcMar>
              <w:left w:w="108" w:type="dxa"/>
            </w:tcMar>
            <w:vAlign w:val="center"/>
          </w:tcPr>
          <w:p>
            <w:pPr>
              <w:pStyle w:val="NormalWeb"/>
              <w:spacing w:lineRule="auto" w:line="360" w:before="0" w:after="0"/>
              <w:rPr>
                <w:rFonts w:ascii="Calibri" w:hAnsi="Calibri" w:cs="Calibri" w:asciiTheme="minorHAnsi" w:cstheme="minorHAnsi" w:hAnsiTheme="minorHAnsi"/>
                <w:b/>
                <w:b/>
                <w:sz w:val="20"/>
                <w:szCs w:val="20"/>
              </w:rPr>
            </w:pPr>
            <w:r>
              <w:rPr>
                <w:rFonts w:cs="Calibri" w:cstheme="minorHAnsi" w:ascii="Calibri" w:hAnsi="Calibri"/>
                <w:b/>
                <w:sz w:val="20"/>
                <w:szCs w:val="20"/>
              </w:rPr>
            </w:r>
          </w:p>
        </w:tc>
        <w:tc>
          <w:tcPr>
            <w:tcW w:w="5470" w:type="dxa"/>
            <w:tcBorders/>
            <w:shd w:fill="auto" w:val="clear"/>
            <w:tcMar>
              <w:left w:w="108" w:type="dxa"/>
            </w:tcMar>
            <w:vAlign w:val="center"/>
          </w:tcPr>
          <w:p>
            <w:pPr>
              <w:pStyle w:val="Normal"/>
              <w:rPr>
                <w:rFonts w:cs="Calibri" w:cstheme="minorHAnsi"/>
                <w:b/>
                <w:b/>
                <w:sz w:val="20"/>
                <w:szCs w:val="20"/>
              </w:rPr>
            </w:pPr>
            <w:r>
              <w:rPr>
                <w:rFonts w:cs="Calibri" w:cstheme="minorHAnsi"/>
                <w:b/>
                <w:sz w:val="20"/>
                <w:szCs w:val="20"/>
              </w:rPr>
              <w:t xml:space="preserve">Limit kwot dla jednego projektu: </w:t>
            </w:r>
          </w:p>
          <w:p>
            <w:pPr>
              <w:pStyle w:val="Normal"/>
              <w:rPr>
                <w:rFonts w:cs="Calibri" w:cstheme="minorHAnsi"/>
                <w:sz w:val="20"/>
                <w:szCs w:val="20"/>
              </w:rPr>
            </w:pPr>
            <w:r>
              <w:rPr>
                <w:rFonts w:cs="Calibri" w:cstheme="minorHAnsi"/>
                <w:sz w:val="20"/>
                <w:szCs w:val="20"/>
              </w:rPr>
              <w:t>110 000,00 zł.</w:t>
            </w:r>
          </w:p>
        </w:tc>
      </w:tr>
      <w:tr>
        <w:trPr/>
        <w:tc>
          <w:tcPr>
            <w:tcW w:w="3591" w:type="dxa"/>
            <w:tcBorders/>
            <w:shd w:fill="auto" w:val="clear"/>
            <w:tcMar>
              <w:left w:w="108" w:type="dxa"/>
            </w:tcMar>
            <w:vAlign w:val="center"/>
          </w:tcPr>
          <w:p>
            <w:pPr>
              <w:pStyle w:val="NormalWeb"/>
              <w:spacing w:lineRule="auto" w:line="360" w:before="0" w:after="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Web"/>
              <w:spacing w:lineRule="auto" w:line="36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Cel zadania</w:t>
            </w:r>
          </w:p>
        </w:tc>
        <w:tc>
          <w:tcPr>
            <w:tcW w:w="5470" w:type="dxa"/>
            <w:tcBorders/>
            <w:shd w:fill="auto" w:val="clear"/>
            <w:tcMar>
              <w:left w:w="108" w:type="dxa"/>
            </w:tcMar>
            <w:vAlign w:val="center"/>
          </w:tcPr>
          <w:p>
            <w:pPr>
              <w:pStyle w:val="ListParagraph"/>
              <w:spacing w:before="0" w:after="160"/>
              <w:contextualSpacing/>
              <w:jc w:val="both"/>
              <w:rPr>
                <w:rFonts w:cs="Calibri" w:cstheme="minorHAnsi"/>
                <w:color w:val="000000"/>
                <w:sz w:val="20"/>
                <w:szCs w:val="20"/>
                <w:highlight w:val="white"/>
              </w:rPr>
            </w:pPr>
            <w:r>
              <w:rPr>
                <w:rFonts w:cs="Calibri" w:cstheme="minorHAnsi"/>
                <w:color w:val="000000"/>
                <w:sz w:val="20"/>
                <w:szCs w:val="20"/>
                <w:highlight w:val="white"/>
              </w:rPr>
              <w:t>Otwarcie sklepu internetowego z miejskimi gadżetami i pamiątkami z Dąbrowy Górniczej</w:t>
              <w:br/>
              <w:t xml:space="preserve">z użyciem domeny dg.pl. </w:t>
            </w:r>
            <w:r>
              <w:rPr>
                <w:rFonts w:cs="Calibri" w:cstheme="minorHAnsi"/>
                <w:color w:val="201F1E"/>
                <w:sz w:val="20"/>
                <w:szCs w:val="20"/>
                <w:highlight w:val="white"/>
              </w:rPr>
              <w:t> </w:t>
            </w:r>
          </w:p>
        </w:tc>
      </w:tr>
      <w:tr>
        <w:trPr/>
        <w:tc>
          <w:tcPr>
            <w:tcW w:w="3591" w:type="dxa"/>
            <w:tcBorders/>
            <w:shd w:fill="auto" w:val="clear"/>
            <w:tcMar>
              <w:left w:w="108" w:type="dxa"/>
            </w:tcMar>
            <w:vAlign w:val="center"/>
          </w:tcPr>
          <w:p>
            <w:pPr>
              <w:pStyle w:val="NormalWeb"/>
              <w:spacing w:lineRule="auto" w:line="36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Rezultaty obligatoryjne realizacji zadania i wymagany poziom osiągnięcia rezultatów (wartość docelowa)</w:t>
            </w:r>
          </w:p>
        </w:tc>
        <w:tc>
          <w:tcPr>
            <w:tcW w:w="5470" w:type="dxa"/>
            <w:tcBorders/>
            <w:shd w:fill="auto" w:val="clear"/>
            <w:tcMar>
              <w:left w:w="108" w:type="dxa"/>
            </w:tcMar>
            <w:vAlign w:val="center"/>
          </w:tcPr>
          <w:p>
            <w:pPr>
              <w:pStyle w:val="ListParagraph"/>
              <w:jc w:val="both"/>
              <w:rPr>
                <w:rFonts w:cs="Calibri" w:cstheme="minorHAnsi"/>
                <w:sz w:val="20"/>
                <w:szCs w:val="20"/>
              </w:rPr>
            </w:pPr>
            <w:r>
              <w:rPr>
                <w:rFonts w:cs="Calibri" w:cstheme="minorHAnsi"/>
                <w:color w:val="000000"/>
                <w:sz w:val="20"/>
                <w:szCs w:val="20"/>
                <w:highlight w:val="white"/>
              </w:rPr>
              <w:t>Opracowanie szczegółowej koncepcji, wdrożenie, prowadzenie i rozwój sklepu internetowego</w:t>
              <w:br/>
              <w:t>z miejskimi gadżetami i pamiątkami z Dąbrowy Górniczej. Sklep będzie prowadzony</w:t>
              <w:br/>
              <w:t xml:space="preserve">w subdomenie o nazwie zaproponowanej przez wykonawcę zadania, na domenie dg.pl (której właścicielem jest gmina Dąbrowa Górnicza). Nazwa subdomeny, tożsama z nazwą marki produktowej, zaproponowanej przez wykonawcę, powinna być kreatywna, nośna sprzedażowo, </w:t>
              <w:br/>
              <w:t>a także powinna nosić pozytywne, ciepłe skojarzenia z miastem Dąbrowa Górnicza. Nazwa marki i subdomeny musi zostać zaproponowana już na etapie składania oferty.</w:t>
            </w:r>
          </w:p>
          <w:p>
            <w:pPr>
              <w:pStyle w:val="ListParagraph"/>
              <w:spacing w:before="0" w:after="160"/>
              <w:contextualSpacing/>
              <w:jc w:val="both"/>
              <w:rPr>
                <w:rFonts w:cs="Calibri" w:cstheme="minorHAnsi"/>
                <w:color w:val="000000"/>
                <w:sz w:val="20"/>
                <w:szCs w:val="20"/>
                <w:highlight w:val="white"/>
              </w:rPr>
            </w:pPr>
            <w:r>
              <w:rPr>
                <w:rFonts w:cs="Calibri" w:cstheme="minorHAnsi"/>
                <w:color w:val="000000"/>
                <w:sz w:val="20"/>
                <w:szCs w:val="20"/>
                <w:highlight w:val="white"/>
              </w:rPr>
            </w:r>
          </w:p>
        </w:tc>
      </w:tr>
      <w:tr>
        <w:trPr/>
        <w:tc>
          <w:tcPr>
            <w:tcW w:w="3591" w:type="dxa"/>
            <w:tcBorders/>
            <w:shd w:fill="auto" w:val="clear"/>
            <w:tcMar>
              <w:left w:w="108" w:type="dxa"/>
            </w:tcMar>
            <w:vAlign w:val="center"/>
          </w:tcPr>
          <w:p>
            <w:pPr>
              <w:pStyle w:val="NormalWeb"/>
              <w:spacing w:lineRule="auto" w:line="36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Sposób monitorowania rezultatów / źródło informacji o osiągnięciu wskaźnika</w:t>
            </w:r>
          </w:p>
        </w:tc>
        <w:tc>
          <w:tcPr>
            <w:tcW w:w="5470" w:type="dxa"/>
            <w:tcBorders/>
            <w:shd w:fill="auto" w:val="clear"/>
            <w:tcMar>
              <w:left w:w="108" w:type="dxa"/>
            </w:tcMar>
            <w:vAlign w:val="center"/>
          </w:tcPr>
          <w:p>
            <w:pPr>
              <w:pStyle w:val="Normal"/>
              <w:numPr>
                <w:ilvl w:val="0"/>
                <w:numId w:val="1"/>
              </w:numPr>
              <w:ind w:left="417" w:hanging="360"/>
              <w:rPr>
                <w:rFonts w:cs="Calibri" w:cstheme="minorHAnsi"/>
                <w:sz w:val="20"/>
                <w:szCs w:val="20"/>
              </w:rPr>
            </w:pPr>
            <w:r>
              <w:rPr>
                <w:rFonts w:cs="Calibri" w:cstheme="minorHAnsi"/>
                <w:color w:val="000000"/>
                <w:sz w:val="20"/>
                <w:szCs w:val="20"/>
                <w:highlight w:val="white"/>
              </w:rPr>
              <w:t>Sprawozdania kwartalne i roczne pokazujące aktywności marketingowe i obroty sklepu.</w:t>
            </w:r>
          </w:p>
        </w:tc>
      </w:tr>
      <w:tr>
        <w:trPr>
          <w:trHeight w:val="696" w:hRule="atLeast"/>
        </w:trPr>
        <w:tc>
          <w:tcPr>
            <w:tcW w:w="3591" w:type="dxa"/>
            <w:tcBorders/>
            <w:shd w:fill="auto" w:val="clear"/>
            <w:tcMar>
              <w:left w:w="108" w:type="dxa"/>
            </w:tcMar>
            <w:vAlign w:val="center"/>
          </w:tcPr>
          <w:p>
            <w:pPr>
              <w:pStyle w:val="NormalWeb"/>
              <w:spacing w:lineRule="auto" w:line="36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Okres realizacji</w:t>
            </w:r>
          </w:p>
        </w:tc>
        <w:tc>
          <w:tcPr>
            <w:tcW w:w="5470" w:type="dxa"/>
            <w:tcBorders/>
            <w:shd w:fill="auto" w:val="clear"/>
            <w:tcMar>
              <w:left w:w="108" w:type="dxa"/>
            </w:tcMar>
            <w:vAlign w:val="center"/>
          </w:tcPr>
          <w:p>
            <w:pPr>
              <w:pStyle w:val="NormalWeb"/>
              <w:spacing w:lineRule="auto" w:line="276"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color w:val="000000"/>
                <w:sz w:val="20"/>
                <w:szCs w:val="20"/>
              </w:rPr>
              <w:t>od 01.03.2022 r. do dnia 31.12.2022 r.</w:t>
            </w:r>
          </w:p>
        </w:tc>
      </w:tr>
      <w:tr>
        <w:trPr/>
        <w:tc>
          <w:tcPr>
            <w:tcW w:w="3591" w:type="dxa"/>
            <w:tcBorders/>
            <w:shd w:fill="auto" w:val="clear"/>
            <w:tcMar>
              <w:left w:w="108" w:type="dxa"/>
            </w:tcMar>
          </w:tcPr>
          <w:p>
            <w:pPr>
              <w:pStyle w:val="NormalWeb"/>
              <w:spacing w:lineRule="auto" w:line="360" w:before="0" w:after="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Web"/>
              <w:spacing w:lineRule="auto" w:line="360" w:before="0" w:after="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Warunki szczegółowe (np. możliwość pobierania opłat od adresatów, wymogi dotyczące lokalizacji przedsięwzięcia czy posiadanej kadry)</w:t>
            </w:r>
          </w:p>
        </w:tc>
        <w:tc>
          <w:tcPr>
            <w:tcW w:w="5470" w:type="dxa"/>
            <w:tcBorders/>
            <w:shd w:fill="auto" w:val="clear"/>
            <w:tcMar>
              <w:left w:w="108" w:type="dxa"/>
            </w:tcMar>
            <w:vAlign w:val="center"/>
          </w:tcPr>
          <w:p>
            <w:pPr>
              <w:pStyle w:val="ListParagraph"/>
              <w:numPr>
                <w:ilvl w:val="0"/>
                <w:numId w:val="2"/>
              </w:numPr>
              <w:spacing w:before="0" w:after="0"/>
              <w:contextualSpacing/>
              <w:jc w:val="both"/>
              <w:rPr>
                <w:rFonts w:cs="Calibri" w:cstheme="minorHAnsi"/>
                <w:sz w:val="20"/>
                <w:szCs w:val="20"/>
              </w:rPr>
            </w:pPr>
            <w:r>
              <w:rPr>
                <w:rFonts w:cs="Calibri" w:cstheme="minorHAnsi"/>
                <w:color w:val="000000"/>
                <w:sz w:val="20"/>
                <w:szCs w:val="20"/>
                <w:highlight w:val="white"/>
              </w:rPr>
              <w:t>Głównym przesłaniem ogłoszonego konkursu jest promocja miasta Dąbrowa Górnicza.</w:t>
            </w:r>
          </w:p>
          <w:p>
            <w:pPr>
              <w:pStyle w:val="ListParagraph"/>
              <w:numPr>
                <w:ilvl w:val="0"/>
                <w:numId w:val="2"/>
              </w:numPr>
              <w:jc w:val="both"/>
              <w:rPr>
                <w:rFonts w:cs="Calibri" w:cstheme="minorHAnsi"/>
                <w:color w:val="000000"/>
                <w:sz w:val="20"/>
                <w:szCs w:val="20"/>
                <w:highlight w:val="white"/>
              </w:rPr>
            </w:pPr>
            <w:r>
              <w:rPr>
                <w:rFonts w:cs="Calibri" w:cstheme="minorHAnsi"/>
                <w:color w:val="000000"/>
                <w:sz w:val="20"/>
                <w:szCs w:val="20"/>
                <w:highlight w:val="white"/>
              </w:rPr>
              <w:t>Oferowany asortyment ma pokazywać miasto przez jego przestrzeń tradycji, kultury, historii</w:t>
              <w:br/>
              <w:t>i aktywności sportowej oraz społecznej.</w:t>
            </w:r>
          </w:p>
          <w:p>
            <w:pPr>
              <w:pStyle w:val="ListParagraph"/>
              <w:numPr>
                <w:ilvl w:val="0"/>
                <w:numId w:val="2"/>
              </w:numPr>
              <w:jc w:val="both"/>
              <w:rPr>
                <w:rFonts w:cs="Calibri" w:cstheme="minorHAnsi"/>
                <w:sz w:val="20"/>
                <w:szCs w:val="20"/>
              </w:rPr>
            </w:pPr>
            <w:r>
              <w:rPr>
                <w:rFonts w:cs="Calibri" w:cstheme="minorHAnsi"/>
                <w:color w:val="000000"/>
                <w:sz w:val="20"/>
                <w:szCs w:val="20"/>
                <w:highlight w:val="white"/>
              </w:rPr>
              <w:t xml:space="preserve">Oferent zobowiązany jest do podejmowania działań zmierzających do rozwoju poczucia przynależności lokalnej i dumy z Dąbrowy Górniczej. </w:t>
            </w:r>
          </w:p>
          <w:p>
            <w:pPr>
              <w:pStyle w:val="ListParagraph"/>
              <w:numPr>
                <w:ilvl w:val="0"/>
                <w:numId w:val="2"/>
              </w:numPr>
              <w:spacing w:before="0" w:after="0"/>
              <w:contextualSpacing/>
              <w:jc w:val="both"/>
              <w:rPr>
                <w:rFonts w:cs="Calibri" w:cstheme="minorHAnsi"/>
                <w:sz w:val="20"/>
                <w:szCs w:val="20"/>
              </w:rPr>
            </w:pPr>
            <w:r>
              <w:rPr>
                <w:rFonts w:cs="Calibri" w:cstheme="minorHAnsi"/>
                <w:color w:val="000000"/>
                <w:sz w:val="20"/>
                <w:szCs w:val="20"/>
                <w:highlight w:val="white"/>
              </w:rPr>
              <w:t xml:space="preserve">Zakłada się, że szeroko prowadzona informacja i promocja sklepu rozszerzy wiedzę mieszkańców o tym, </w:t>
              <w:br/>
              <w:t>co ciekawego dzieje się w mieście. Pośrednio zwiększy to poziom wiedzy mieszkańców Dąbrowy Górniczej w zakresie oferty społeczno-kulturalno-sportowej miasta, oferty jego instytucji i organizacji pozarządowych. S</w:t>
            </w:r>
            <w:r>
              <w:rPr>
                <w:rFonts w:cs="Calibri" w:cstheme="minorHAnsi"/>
                <w:color w:val="201F1E"/>
                <w:sz w:val="20"/>
                <w:szCs w:val="20"/>
                <w:highlight w:val="white"/>
              </w:rPr>
              <w:t>klep i jego promocja poszerzy również ofertę dla turystów, upowszechni wiedzę o walorach turystycznych miasta i zwiększy ruch turystyczny w Dąbrowie Górniczej, co wpłynie pozytywnie na rozwój gospodarczy miasta.  </w:t>
            </w:r>
          </w:p>
          <w:p>
            <w:pPr>
              <w:pStyle w:val="NormalWeb"/>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Jednym z kluczowych elementów zadania jest opracowanie strategii rozwoju marki produktowej wywołującej pozytywne skojarzenia z miastem Dąbrowa Górnicza – konieczne jest wstępne zaprezentowanie koncepcji we wniosku projektowym.</w:t>
            </w:r>
          </w:p>
          <w:p>
            <w:pPr>
              <w:pStyle w:val="NormalWeb"/>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Oferent zobligowany jest do przedstawienia we wniosku projektowym informacji na temat technicznych aspektów funkcjonowania sklepu internetowego (rodzaje rozwiązań elektronicznych, itp.)</w:t>
            </w:r>
          </w:p>
          <w:p>
            <w:pPr>
              <w:pStyle w:val="NormalWeb"/>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Oferent zobligowany jest do zaprojektowania logo marki.</w:t>
            </w:r>
          </w:p>
          <w:p>
            <w:pPr>
              <w:pStyle w:val="NormalWeb"/>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color w:val="201F1E"/>
                <w:sz w:val="20"/>
                <w:szCs w:val="20"/>
                <w:highlight w:val="white"/>
              </w:rPr>
              <w:t>Oferent zobligowany jest do zapewnienia niezbędnej kadry z doświadczeniem marketingowym, sprzedażowym, graficznym, fotograficznym, a także realizująca w przeszłości wydarzenia targowe.</w:t>
            </w:r>
          </w:p>
          <w:p>
            <w:pPr>
              <w:pStyle w:val="ListParagraph"/>
              <w:numPr>
                <w:ilvl w:val="0"/>
                <w:numId w:val="2"/>
              </w:numPr>
              <w:jc w:val="both"/>
              <w:rPr>
                <w:rFonts w:cs="Calibri" w:cstheme="minorHAnsi"/>
                <w:sz w:val="20"/>
                <w:szCs w:val="20"/>
              </w:rPr>
            </w:pPr>
            <w:r>
              <w:rPr>
                <w:rFonts w:cs="Calibri" w:cstheme="minorHAnsi"/>
                <w:sz w:val="20"/>
                <w:szCs w:val="20"/>
              </w:rPr>
              <w:t xml:space="preserve">Elementem składowym zadania jest zakup i utrzymywanie oprogramowania umożliwiającego prowadzenie sklepu internetowego (dowolnie: własny system stworzony na potrzeby projektu bądź dopuszczalne jest skorzystanie z gotowych rozwiązań programistycznych typu IdoSell czy Shopper). </w:t>
            </w:r>
            <w:r>
              <w:rPr>
                <w:rFonts w:cs="Calibri" w:cstheme="minorHAnsi"/>
                <w:color w:val="000000"/>
                <w:sz w:val="20"/>
                <w:szCs w:val="20"/>
                <w:highlight w:val="white"/>
              </w:rPr>
              <w:t>Obligatoryjne jest korzystanie z domeny dg.pl.</w:t>
            </w:r>
          </w:p>
          <w:p>
            <w:pPr>
              <w:pStyle w:val="ListParagraph"/>
              <w:numPr>
                <w:ilvl w:val="0"/>
                <w:numId w:val="2"/>
              </w:numPr>
              <w:jc w:val="both"/>
              <w:rPr>
                <w:rFonts w:cs="Calibri" w:cstheme="minorHAnsi"/>
                <w:sz w:val="20"/>
                <w:szCs w:val="20"/>
              </w:rPr>
            </w:pPr>
            <w:r>
              <w:rPr>
                <w:rFonts w:cs="Calibri" w:cstheme="minorHAnsi"/>
                <w:sz w:val="20"/>
                <w:szCs w:val="20"/>
              </w:rPr>
              <w:t>Konieczność zapewnienia wsparcia technicznego</w:t>
              <w:br/>
              <w:t xml:space="preserve"> i sprzętu, który da gwarancję całodobowej dostępności sklepu dla odbiorców przez siedem dni w tygodniu.</w:t>
            </w:r>
          </w:p>
          <w:p>
            <w:pPr>
              <w:pStyle w:val="ListParagraph"/>
              <w:numPr>
                <w:ilvl w:val="0"/>
                <w:numId w:val="2"/>
              </w:numPr>
              <w:jc w:val="both"/>
              <w:rPr>
                <w:rFonts w:cs="Calibri" w:cstheme="minorHAnsi"/>
                <w:sz w:val="20"/>
                <w:szCs w:val="20"/>
              </w:rPr>
            </w:pPr>
            <w:r>
              <w:rPr>
                <w:rFonts w:cs="Calibri" w:cstheme="minorHAnsi"/>
                <w:sz w:val="20"/>
                <w:szCs w:val="20"/>
              </w:rPr>
              <w:t>Warunek konieczny zawarcia umowy: przekazanie praw autorskich do nazwy marki zamawiającemu. Ponadto, obligatoryjne wykorzystywanie logo miasta Dąbrowa Górnicza i określenia „Oficjalny sklep miasta Dąbrowa Górnicza”.</w:t>
            </w:r>
          </w:p>
          <w:p>
            <w:pPr>
              <w:pStyle w:val="NormalWeb"/>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Elementem obligatoryjnym zadania jest wyprodukowanie, po akceptacji Wydziału Marki Miasta, Kultury i Sportu Urzędu Miejskiego w Dąbrowie Górniczej, unikatowej linii produktowej promującej miasto (minimalnie 20 rodzajów nowatorskich gadżetów miejskich, stale dostępnych w ofercie sprzedaży wysyłkowej). </w:t>
              <w:br/>
              <w:t xml:space="preserve"> A także wprowadzenie do oferty sklepu min.</w:t>
              <w:br/>
              <w:t xml:space="preserve"> 5 rodzajów gadżetów będących ofertą instytucji miejskich (sprzedaż komisowa) – do końca</w:t>
              <w:br/>
              <w:t xml:space="preserve"> II kwartału 2022 r.</w:t>
            </w:r>
          </w:p>
          <w:p>
            <w:pPr>
              <w:pStyle w:val="ListParagraph"/>
              <w:numPr>
                <w:ilvl w:val="0"/>
                <w:numId w:val="2"/>
              </w:numPr>
              <w:jc w:val="both"/>
              <w:rPr>
                <w:rFonts w:cs="Calibri" w:cstheme="minorHAnsi"/>
                <w:sz w:val="20"/>
                <w:szCs w:val="20"/>
              </w:rPr>
            </w:pPr>
            <w:r>
              <w:rPr>
                <w:rFonts w:cs="Calibri" w:cstheme="minorHAnsi"/>
                <w:sz w:val="20"/>
                <w:szCs w:val="20"/>
              </w:rPr>
              <w:t>Bieżąca obsługa sklepu, w tym:</w:t>
            </w:r>
          </w:p>
          <w:p>
            <w:pPr>
              <w:pStyle w:val="ListParagraph"/>
              <w:numPr>
                <w:ilvl w:val="0"/>
                <w:numId w:val="2"/>
              </w:numPr>
              <w:jc w:val="both"/>
              <w:rPr>
                <w:rFonts w:cs="Calibri" w:cstheme="minorHAnsi"/>
                <w:sz w:val="20"/>
                <w:szCs w:val="20"/>
              </w:rPr>
            </w:pPr>
            <w:r>
              <w:rPr>
                <w:rFonts w:cs="Calibri" w:cstheme="minorHAnsi"/>
                <w:color w:val="000000"/>
                <w:sz w:val="20"/>
                <w:szCs w:val="20"/>
                <w:highlight w:val="white"/>
              </w:rPr>
              <w:t xml:space="preserve">obsługa systemu sklepu online - dodawanie nowego towaru, redagowanie opisów, aktualizacja treści i fotografii. </w:t>
            </w:r>
          </w:p>
          <w:p>
            <w:pPr>
              <w:pStyle w:val="ListParagraph"/>
              <w:numPr>
                <w:ilvl w:val="0"/>
                <w:numId w:val="2"/>
              </w:numPr>
              <w:jc w:val="both"/>
              <w:rPr>
                <w:rFonts w:cs="Calibri" w:cstheme="minorHAnsi"/>
                <w:sz w:val="20"/>
                <w:szCs w:val="20"/>
              </w:rPr>
            </w:pPr>
            <w:r>
              <w:rPr>
                <w:rFonts w:cs="Calibri" w:cstheme="minorHAnsi"/>
                <w:color w:val="000000"/>
                <w:sz w:val="20"/>
                <w:szCs w:val="20"/>
              </w:rPr>
              <w:t xml:space="preserve">opracowanie i wdrożenie regulaminu </w:t>
              <w:br/>
              <w:t>i polityki prywatności sklepu;</w:t>
            </w:r>
          </w:p>
          <w:p>
            <w:pPr>
              <w:pStyle w:val="ListParagraph"/>
              <w:numPr>
                <w:ilvl w:val="0"/>
                <w:numId w:val="2"/>
              </w:numPr>
              <w:jc w:val="both"/>
              <w:rPr>
                <w:rFonts w:cs="Calibri" w:cstheme="minorHAnsi"/>
                <w:sz w:val="20"/>
                <w:szCs w:val="20"/>
              </w:rPr>
            </w:pPr>
            <w:r>
              <w:rPr>
                <w:rFonts w:cs="Calibri" w:cstheme="minorHAnsi"/>
                <w:color w:val="333333"/>
                <w:sz w:val="20"/>
                <w:szCs w:val="20"/>
                <w:highlight w:val="white"/>
              </w:rPr>
              <w:t>integracja strony z bankami, systemami płatności, kurierami, porównywarkami cen, serwisami opinii, firmami certyfikującymi;</w:t>
            </w:r>
          </w:p>
          <w:p>
            <w:pPr>
              <w:pStyle w:val="ListParagraph"/>
              <w:numPr>
                <w:ilvl w:val="0"/>
                <w:numId w:val="2"/>
              </w:numPr>
              <w:jc w:val="both"/>
              <w:rPr>
                <w:rFonts w:cs="Calibri" w:cstheme="minorHAnsi"/>
                <w:sz w:val="20"/>
                <w:szCs w:val="20"/>
              </w:rPr>
            </w:pPr>
            <w:r>
              <w:rPr>
                <w:rFonts w:cs="Calibri" w:cstheme="minorHAnsi"/>
                <w:color w:val="000000"/>
                <w:sz w:val="20"/>
                <w:szCs w:val="20"/>
              </w:rPr>
              <w:t>analiza magazynowa, r</w:t>
            </w:r>
            <w:r>
              <w:rPr>
                <w:rFonts w:cs="Calibri" w:cstheme="minorHAnsi"/>
                <w:color w:val="000000"/>
                <w:sz w:val="20"/>
                <w:szCs w:val="20"/>
                <w:highlight w:val="white"/>
              </w:rPr>
              <w:t>ealizowanie zamówień, obsługa płatności, wysyłki, zwroty, reklamacje.</w:t>
            </w:r>
          </w:p>
          <w:p>
            <w:pPr>
              <w:pStyle w:val="NormalWeb"/>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color w:val="000000"/>
                <w:sz w:val="20"/>
                <w:szCs w:val="20"/>
              </w:rPr>
              <w:t>P</w:t>
            </w:r>
            <w:r>
              <w:rPr>
                <w:rFonts w:cs="Calibri" w:ascii="Calibri" w:hAnsi="Calibri" w:asciiTheme="minorHAnsi" w:cstheme="minorHAnsi" w:hAnsiTheme="minorHAnsi"/>
                <w:sz w:val="20"/>
                <w:szCs w:val="20"/>
              </w:rPr>
              <w:t>ozyskiwanie nowego asortymentu we współpracy z miejskimi instytucjami, stowarzyszeniami, twórcami kultury etc. Pozyskiwanie do współpracy  lokalnych rzemieślników i ich produktów. Stopniowe rozszerzanie oferty produktowej zarówno</w:t>
              <w:br/>
              <w:t>o produkty własne, jak i rozliczane w formule komisowej z kooperantami – ważne: zagwarantowana stała dostępność produktowa. Każdy nowy produkt wymaga akceptacji zamawiającego.</w:t>
            </w:r>
          </w:p>
          <w:p>
            <w:pPr>
              <w:pStyle w:val="Normal"/>
              <w:numPr>
                <w:ilvl w:val="0"/>
                <w:numId w:val="2"/>
              </w:numPr>
              <w:rPr>
                <w:rFonts w:cs="Calibri" w:cstheme="minorHAnsi"/>
                <w:sz w:val="20"/>
                <w:szCs w:val="20"/>
              </w:rPr>
            </w:pPr>
            <w:r>
              <w:rPr>
                <w:rFonts w:cs="Calibri" w:cstheme="minorHAnsi"/>
                <w:color w:val="000000"/>
                <w:sz w:val="20"/>
                <w:szCs w:val="20"/>
                <w:highlight w:val="white"/>
              </w:rPr>
              <w:t xml:space="preserve">Dbanie o wizerunek marki poprzez utrzymywanie wysokich standardów obsługi klienta - odpowiadanie na pytania, doradzanie itd. Kompleksowa obsługa klienta telefoniczna i e-mailowa. Udzielanie klientom informacji na temat asortymentu. </w:t>
            </w:r>
          </w:p>
          <w:p>
            <w:pPr>
              <w:pStyle w:val="Normal"/>
              <w:numPr>
                <w:ilvl w:val="0"/>
                <w:numId w:val="2"/>
              </w:numPr>
              <w:rPr>
                <w:rFonts w:cs="Calibri" w:cstheme="minorHAnsi"/>
                <w:sz w:val="20"/>
                <w:szCs w:val="20"/>
              </w:rPr>
            </w:pPr>
            <w:r>
              <w:rPr>
                <w:rFonts w:cs="Calibri" w:cstheme="minorHAnsi"/>
                <w:sz w:val="20"/>
                <w:szCs w:val="20"/>
              </w:rPr>
              <w:t xml:space="preserve">Prowadzenie stałych działań marketingowych gwarantujących rozwój marki i wzrost jej rozpoznawalności wśród klientów. </w:t>
            </w:r>
          </w:p>
          <w:p>
            <w:pPr>
              <w:pStyle w:val="ListParagraph"/>
              <w:numPr>
                <w:ilvl w:val="0"/>
                <w:numId w:val="2"/>
              </w:numPr>
              <w:jc w:val="both"/>
              <w:rPr>
                <w:rFonts w:cs="Calibri" w:cstheme="minorHAnsi"/>
                <w:sz w:val="20"/>
                <w:szCs w:val="20"/>
              </w:rPr>
            </w:pPr>
            <w:r>
              <w:rPr>
                <w:rFonts w:cs="Calibri" w:cstheme="minorHAnsi"/>
                <w:sz w:val="20"/>
                <w:szCs w:val="20"/>
              </w:rPr>
              <w:t xml:space="preserve">Podejmowanie działań zmierzających do  promocji sklepu </w:t>
            </w:r>
            <w:r>
              <w:rPr>
                <w:rFonts w:cs="Calibri" w:cstheme="minorHAnsi"/>
                <w:color w:val="000000"/>
                <w:sz w:val="20"/>
                <w:szCs w:val="20"/>
                <w:highlight w:val="white"/>
              </w:rPr>
              <w:t>nie tylko w Internecie, ale również podczas miejskich wydarzeń plenerowych (min.</w:t>
              <w:br/>
              <w:t>4 wydarzenia w pierwszym roku działalności).</w:t>
            </w:r>
          </w:p>
          <w:p>
            <w:pPr>
              <w:pStyle w:val="ListParagraph"/>
              <w:numPr>
                <w:ilvl w:val="0"/>
                <w:numId w:val="2"/>
              </w:numPr>
              <w:jc w:val="both"/>
              <w:rPr>
                <w:rFonts w:cs="Calibri" w:cstheme="minorHAnsi"/>
                <w:sz w:val="20"/>
                <w:szCs w:val="20"/>
              </w:rPr>
            </w:pPr>
            <w:r>
              <w:rPr>
                <w:rFonts w:cs="Calibri" w:cstheme="minorHAnsi"/>
                <w:sz w:val="20"/>
                <w:szCs w:val="20"/>
              </w:rPr>
              <w:t xml:space="preserve">Założenie i aktywne prowadzenie kont marki </w:t>
              <w:br/>
              <w:t>w mediach społecznościowych (takich jak: FB, Instagram, TikTok). Zbudowanie bazy fanów</w:t>
              <w:br/>
              <w:t xml:space="preserve"> w mediach społecznościowych poprzez m.in akcje angażujące mieszkańców.</w:t>
            </w:r>
          </w:p>
          <w:p>
            <w:pPr>
              <w:pStyle w:val="ListParagraph"/>
              <w:numPr>
                <w:ilvl w:val="0"/>
                <w:numId w:val="2"/>
              </w:numPr>
              <w:jc w:val="both"/>
              <w:rPr>
                <w:rFonts w:cs="Calibri" w:cstheme="minorHAnsi"/>
                <w:sz w:val="20"/>
                <w:szCs w:val="20"/>
              </w:rPr>
            </w:pPr>
            <w:r>
              <w:rPr>
                <w:rFonts w:cs="Calibri" w:cstheme="minorHAnsi"/>
                <w:sz w:val="20"/>
                <w:szCs w:val="20"/>
              </w:rPr>
              <w:t>Utworzenie bazy klientów (z potencjałem rozwojowym) oraz bazy dostawców i instytucji współpracujących.</w:t>
            </w:r>
          </w:p>
          <w:p>
            <w:pPr>
              <w:pStyle w:val="ListParagraph"/>
              <w:numPr>
                <w:ilvl w:val="0"/>
                <w:numId w:val="2"/>
              </w:numPr>
              <w:jc w:val="both"/>
              <w:rPr>
                <w:rFonts w:cs="Calibri" w:cstheme="minorHAnsi"/>
                <w:sz w:val="20"/>
                <w:szCs w:val="20"/>
              </w:rPr>
            </w:pPr>
            <w:r>
              <w:rPr>
                <w:rFonts w:cs="Calibri" w:cstheme="minorHAnsi"/>
                <w:sz w:val="20"/>
                <w:szCs w:val="20"/>
              </w:rPr>
              <w:t>Zrealizowanie minimum 4 płatnych akcji marketingowych sklepu w mediach społecznościowych i min. 4 akcji marketingowych</w:t>
              <w:br/>
              <w:t xml:space="preserve"> w mediach tradycyjnych lub internecie.</w:t>
            </w:r>
          </w:p>
          <w:p>
            <w:pPr>
              <w:pStyle w:val="NormalWeb"/>
              <w:numPr>
                <w:ilvl w:val="0"/>
                <w:numId w:val="2"/>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color w:val="201F1E"/>
                <w:sz w:val="20"/>
                <w:szCs w:val="20"/>
                <w:highlight w:val="white"/>
              </w:rPr>
              <w:t>Realizacja zadań promocyjnych i rozwój oferty produktowej powinna każdorazowo uzyskać akceptację Naczelnika Wydziału Marki Miasta,</w:t>
            </w:r>
            <w:r>
              <w:rPr>
                <w:rFonts w:cs="Calibri" w:ascii="Calibri" w:hAnsi="Calibri" w:asciiTheme="minorHAnsi" w:cstheme="minorHAnsi" w:hAnsiTheme="minorHAnsi"/>
                <w:color w:val="000000"/>
                <w:sz w:val="20"/>
                <w:szCs w:val="20"/>
                <w:highlight w:val="white"/>
              </w:rPr>
              <w:t xml:space="preserve"> Kultury i Sportu Urzędu Miejskiego w Dąbrowie Górniczej.</w:t>
            </w:r>
            <w:r>
              <w:rPr>
                <w:rFonts w:cs="Calibri" w:ascii="Calibri" w:hAnsi="Calibri" w:asciiTheme="minorHAnsi" w:cstheme="minorHAnsi" w:hAnsiTheme="minorHAnsi"/>
                <w:color w:val="201F1E"/>
                <w:sz w:val="20"/>
                <w:szCs w:val="20"/>
                <w:highlight w:val="white"/>
              </w:rPr>
              <w:t xml:space="preserve"> </w:t>
            </w:r>
          </w:p>
          <w:p>
            <w:pPr>
              <w:pStyle w:val="Zawartotabeli"/>
              <w:numPr>
                <w:ilvl w:val="0"/>
                <w:numId w:val="2"/>
              </w:numPr>
              <w:spacing w:before="0" w:after="283"/>
              <w:jc w:val="both"/>
              <w:rPr>
                <w:rFonts w:cs="Calibri" w:cstheme="minorHAnsi"/>
                <w:sz w:val="20"/>
                <w:szCs w:val="20"/>
              </w:rPr>
            </w:pPr>
            <w:r>
              <w:rPr>
                <w:rFonts w:cs="Calibri" w:cstheme="minorHAnsi"/>
                <w:color w:val="201F1E"/>
                <w:sz w:val="20"/>
                <w:szCs w:val="20"/>
                <w:highlight w:val="white"/>
              </w:rPr>
              <w:t xml:space="preserve">Przy realizacji zadania Zleceniobiorca zobowiązuje się do przestrzegania przepisów ustawy z dnia </w:t>
            </w:r>
            <w:r>
              <w:rPr>
                <w:rStyle w:val="Object"/>
                <w:rFonts w:cs="Calibri" w:cstheme="minorHAnsi"/>
                <w:color w:val="201F1E"/>
                <w:sz w:val="20"/>
                <w:szCs w:val="20"/>
                <w:highlight w:val="white"/>
              </w:rPr>
              <w:t>19 lipca 2019</w:t>
            </w:r>
            <w:r>
              <w:rPr>
                <w:rFonts w:cs="Calibri" w:cstheme="minorHAnsi"/>
                <w:color w:val="201F1E"/>
                <w:sz w:val="20"/>
                <w:szCs w:val="20"/>
                <w:highlight w:val="white"/>
              </w:rPr>
              <w:t xml:space="preserve"> r. o zapewnieniu dostępności osobom ze szczególnymi potrzebami.</w:t>
            </w:r>
          </w:p>
          <w:p>
            <w:pPr>
              <w:pStyle w:val="NormalWeb"/>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color w:val="201F1E"/>
                <w:sz w:val="20"/>
                <w:szCs w:val="20"/>
                <w:highlight w:val="white"/>
              </w:rPr>
              <w:t>Ponadto realizator jest zobowiązany do przedłożenia:</w:t>
            </w:r>
          </w:p>
          <w:p>
            <w:pPr>
              <w:pStyle w:val="NormalWeb"/>
              <w:numPr>
                <w:ilvl w:val="0"/>
                <w:numId w:val="3"/>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Dokument o nazwie „Strategia rozwoju marki produktowej wywołującej pozytywne skojarzenia z miastem Dąbrowa Górnicza” przedstawiony do akceptacji zamawiającego wraz z projektem logo.</w:t>
            </w:r>
          </w:p>
          <w:p>
            <w:pPr>
              <w:pStyle w:val="NormalWeb"/>
              <w:numPr>
                <w:ilvl w:val="0"/>
                <w:numId w:val="3"/>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Oświadczenie realizatora wraz z danymi statystycznymi dotyczącymi ruchu w witrynie sklepowej składane w okresach kwartalnych</w:t>
              <w:br/>
              <w:t>i rocznym (wyciąg danych statystycznych prezentujących ruch w witrynie z oprogramowania umożliwiającego sprzedaż internetową).</w:t>
            </w:r>
          </w:p>
          <w:p>
            <w:pPr>
              <w:pStyle w:val="NormalWeb"/>
              <w:numPr>
                <w:ilvl w:val="0"/>
                <w:numId w:val="3"/>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Oświadczenie realizatora o obrotach sklepu. </w:t>
            </w:r>
          </w:p>
          <w:p>
            <w:pPr>
              <w:pStyle w:val="NormalWeb"/>
              <w:numPr>
                <w:ilvl w:val="0"/>
                <w:numId w:val="3"/>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Oświadczenie realizatora o liczbie fanów na profilach mediów społecznościowych sklepu.</w:t>
            </w:r>
          </w:p>
          <w:p>
            <w:pPr>
              <w:pStyle w:val="NormalWeb"/>
              <w:numPr>
                <w:ilvl w:val="0"/>
                <w:numId w:val="3"/>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Raporty kwartalne i raport roczny z realizowanych akcji marketingowych i sprzedażowych.</w:t>
            </w:r>
          </w:p>
          <w:p>
            <w:pPr>
              <w:pStyle w:val="ListParagraph"/>
              <w:numPr>
                <w:ilvl w:val="0"/>
                <w:numId w:val="3"/>
              </w:numPr>
              <w:jc w:val="both"/>
              <w:rPr>
                <w:rFonts w:cs="Calibri" w:cstheme="minorHAnsi"/>
                <w:sz w:val="20"/>
                <w:szCs w:val="20"/>
              </w:rPr>
            </w:pPr>
            <w:r>
              <w:rPr>
                <w:rFonts w:cs="Calibri" w:cstheme="minorHAnsi"/>
                <w:sz w:val="20"/>
                <w:szCs w:val="20"/>
              </w:rPr>
              <w:t>Pisemne przekazanie zamawiającemu danych do konta administratora oprogramowania umożliwiającego prowadzenie sklepu.</w:t>
            </w:r>
          </w:p>
          <w:p>
            <w:pPr>
              <w:pStyle w:val="ListParagraph"/>
              <w:numPr>
                <w:ilvl w:val="0"/>
                <w:numId w:val="3"/>
              </w:numPr>
              <w:jc w:val="both"/>
              <w:rPr>
                <w:rFonts w:cs="Calibri" w:cstheme="minorHAnsi"/>
                <w:sz w:val="20"/>
                <w:szCs w:val="20"/>
              </w:rPr>
            </w:pPr>
            <w:r>
              <w:rPr>
                <w:rFonts w:cs="Calibri" w:cstheme="minorHAnsi"/>
                <w:sz w:val="20"/>
                <w:szCs w:val="20"/>
              </w:rPr>
              <w:t xml:space="preserve">Oświadczenie o posiadaniu sprzętu, który da gwarancję utrzymania 24 h dostępności sklepu dla odbiorców. </w:t>
            </w:r>
          </w:p>
          <w:p>
            <w:pPr>
              <w:pStyle w:val="ListParagraph"/>
              <w:numPr>
                <w:ilvl w:val="0"/>
                <w:numId w:val="3"/>
              </w:numPr>
              <w:jc w:val="both"/>
              <w:rPr>
                <w:rFonts w:cs="Calibri" w:cstheme="minorHAnsi"/>
                <w:sz w:val="20"/>
                <w:szCs w:val="20"/>
              </w:rPr>
            </w:pPr>
            <w:r>
              <w:rPr>
                <w:rFonts w:cs="Calibri" w:cstheme="minorHAnsi"/>
                <w:sz w:val="20"/>
                <w:szCs w:val="20"/>
              </w:rPr>
              <w:t>Zawarcie umowy przekazującej prawa autorskie do nazwy marki zamawiającemu.</w:t>
            </w:r>
          </w:p>
          <w:p>
            <w:pPr>
              <w:pStyle w:val="ListParagraph"/>
              <w:numPr>
                <w:ilvl w:val="0"/>
                <w:numId w:val="3"/>
              </w:numPr>
              <w:jc w:val="both"/>
              <w:rPr>
                <w:rFonts w:cs="Calibri" w:cstheme="minorHAnsi"/>
                <w:sz w:val="20"/>
                <w:szCs w:val="20"/>
              </w:rPr>
            </w:pPr>
            <w:r>
              <w:rPr>
                <w:rFonts w:cs="Calibri" w:cstheme="minorHAnsi"/>
                <w:sz w:val="20"/>
                <w:szCs w:val="20"/>
              </w:rPr>
              <w:t>Przekazanie do akceptacji zamawiającemu projektu graficznego strony sklepu (do końca pierwszego miesiąca realizacji projektu), który będzie zawierał logo Miasta Dąbrowa Górnicza i określenia „Oficjalny sklep miasta Dąbrowa Górnicza”.</w:t>
            </w:r>
          </w:p>
          <w:p>
            <w:pPr>
              <w:pStyle w:val="ListParagraph"/>
              <w:numPr>
                <w:ilvl w:val="0"/>
                <w:numId w:val="3"/>
              </w:numPr>
              <w:jc w:val="both"/>
              <w:rPr>
                <w:rFonts w:cs="Calibri" w:cstheme="minorHAnsi"/>
                <w:sz w:val="20"/>
                <w:szCs w:val="20"/>
              </w:rPr>
            </w:pPr>
            <w:r>
              <w:rPr>
                <w:rFonts w:cs="Calibri" w:cstheme="minorHAnsi"/>
                <w:sz w:val="20"/>
                <w:szCs w:val="20"/>
              </w:rPr>
              <w:t>Przedstawienie do końca kwietnia 2022 r., do akceptacji zamawiającemu projektów, które złożą się na pierwszą linię produktową promującą miasto (minimalnie 20 rodzajów nowatorskich gadżetów miejskich) oraz pisemne potwierdzenie wprowadzenia do oferty sklepu min. 5 rodzajów gadżetów będących ofertą dąbrowskich instytucji miejskich lub innych NGO (sprzedaż komisowa). Zapewnienie dostępności produktów maksymalnie od końca II kwartału 2022 r.</w:t>
            </w:r>
          </w:p>
          <w:p>
            <w:pPr>
              <w:pStyle w:val="NormalWeb"/>
              <w:numPr>
                <w:ilvl w:val="0"/>
                <w:numId w:val="3"/>
              </w:numPr>
              <w:suppressAutoHyphens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Oświadczenie realizatora raportujące podjęte akcje wspólne z instytucjami kultury, sportu i miejskimi stowarzyszeniami, lokalnymi twórcami, mające na celu rozszerzenie oferty o przedmioty należące do oferty instytucji, będące wytworem pracy stowarzyszeń czy lokalnych twórców.</w:t>
            </w:r>
          </w:p>
          <w:p>
            <w:pPr>
              <w:pStyle w:val="NormalWeb"/>
              <w:numPr>
                <w:ilvl w:val="0"/>
                <w:numId w:val="3"/>
              </w:numPr>
              <w:suppressAutoHyphens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Oświadczenie wykonawcy prezentujące wyniki badań satysfakcji klientów. </w:t>
            </w:r>
          </w:p>
          <w:p>
            <w:pPr>
              <w:pStyle w:val="NormalWeb"/>
              <w:numPr>
                <w:ilvl w:val="0"/>
                <w:numId w:val="3"/>
              </w:numPr>
              <w:suppressAutoHyphens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Oświadczenie wykonawcy o liczbie rekordów w bazie klientów i bazie dostawców oraz instytucji współpracujących. </w:t>
            </w:r>
          </w:p>
          <w:p>
            <w:pPr>
              <w:pStyle w:val="NormalWeb"/>
              <w:numPr>
                <w:ilvl w:val="0"/>
                <w:numId w:val="3"/>
              </w:numPr>
              <w:spacing w:before="0" w:after="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color w:val="201F1E"/>
                <w:sz w:val="20"/>
                <w:szCs w:val="20"/>
                <w:highlight w:val="white"/>
              </w:rPr>
              <w:t xml:space="preserve">Raport z min. 4 płatnych akcji marketingowych sklepu w mediach społecznościowych  i z min. 4 akcji marketingowych w mediach tradycyjnych. </w:t>
            </w:r>
          </w:p>
        </w:tc>
      </w:tr>
    </w:tbl>
    <w:p>
      <w:pPr>
        <w:pStyle w:val="NormalWeb"/>
        <w:spacing w:lineRule="auto" w:line="36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Web"/>
        <w:spacing w:lineRule="auto" w:line="360" w:before="0" w:after="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spacing w:lineRule="auto" w:line="360"/>
        <w:rPr>
          <w:rFonts w:cs="Calibri" w:cstheme="minorHAnsi"/>
          <w:sz w:val="20"/>
          <w:szCs w:val="20"/>
        </w:rPr>
      </w:pPr>
      <w:r>
        <w:rPr>
          <w:rFonts w:cs="Calibri" w:cstheme="minorHAnsi"/>
          <w:sz w:val="20"/>
          <w:szCs w:val="20"/>
        </w:rPr>
        <w:t xml:space="preserve">2. Zlecenie realizacji w/w zadania publicznego będzie miało formę wspierania tego zadania wraz </w:t>
        <w:br/>
        <w:t xml:space="preserve">z udzieleniem dotacji na dofinansowanie jego realizacji. </w:t>
      </w:r>
    </w:p>
    <w:p>
      <w:pPr>
        <w:pStyle w:val="Normal"/>
        <w:spacing w:lineRule="auto" w:line="360"/>
        <w:rPr>
          <w:rFonts w:cs="Calibri" w:cstheme="minorHAnsi"/>
          <w:sz w:val="20"/>
          <w:szCs w:val="20"/>
        </w:rPr>
      </w:pPr>
      <w:r>
        <w:rPr>
          <w:rFonts w:cs="Calibri" w:cstheme="minorHAnsi"/>
          <w:sz w:val="20"/>
          <w:szCs w:val="20"/>
        </w:rPr>
        <w:t xml:space="preserve">3. Przyznanie dotacji ma miejsce tylko w przypadku wniesienia przez Dotowanego nie mniej niż 5% wkładu własnego finansowego lub niefinansowego wkładu własnego (osobowego bądź rzeczowego).  </w:t>
      </w:r>
    </w:p>
    <w:p>
      <w:pPr>
        <w:pStyle w:val="BodyText2"/>
        <w:widowControl/>
        <w:tabs>
          <w:tab w:val="left" w:pos="180" w:leader="none"/>
        </w:tabs>
        <w:suppressAutoHyphens w:val="false"/>
        <w:spacing w:lineRule="auto" w:line="360" w:before="0" w:after="0"/>
        <w:textAlignment w:val="auto"/>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lang w:val="pl-PL"/>
        </w:rPr>
        <w:t>4</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lang w:val="pl-PL"/>
        </w:rPr>
        <w:t xml:space="preserve">Zleceniobiorca jest zobowiązany zachować procentowy udział dotacji w całkowitym koszcie zadania publicznego. Obowiązek ten uważa się za zachowany jeżeli procentowy udział dotacji w całkowitym koszcie zadania publicznego nie zwiększy się o więcej niż 5 punktów procentowych. Co więcej, dopuszczalne jest dokonywanie przesunięć w zakresie ponoszonych wydatków: </w:t>
      </w:r>
      <w:r>
        <w:rPr>
          <w:rFonts w:cs="Calibri" w:ascii="Calibri" w:hAnsi="Calibri" w:asciiTheme="minorHAnsi" w:cstheme="minorHAnsi" w:hAnsiTheme="minorHAnsi"/>
          <w:sz w:val="20"/>
          <w:szCs w:val="20"/>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otrzymanej dotacji. Naruszenie </w:t>
      </w:r>
      <w:r>
        <w:rPr>
          <w:rFonts w:cs="Calibri" w:ascii="Calibri" w:hAnsi="Calibri" w:asciiTheme="minorHAnsi" w:cstheme="minorHAnsi" w:hAnsiTheme="minorHAnsi"/>
          <w:sz w:val="20"/>
          <w:szCs w:val="20"/>
          <w:lang w:val="pl-PL"/>
        </w:rPr>
        <w:t xml:space="preserve">w/w </w:t>
      </w:r>
      <w:r>
        <w:rPr>
          <w:rFonts w:cs="Calibri" w:ascii="Calibri" w:hAnsi="Calibri" w:asciiTheme="minorHAnsi" w:cstheme="minorHAnsi" w:hAnsiTheme="minorHAnsi"/>
          <w:sz w:val="20"/>
          <w:szCs w:val="20"/>
        </w:rPr>
        <w:t>postanowienia</w:t>
      </w:r>
      <w:r>
        <w:rPr>
          <w:rFonts w:cs="Calibri" w:ascii="Calibri" w:hAnsi="Calibri" w:asciiTheme="minorHAnsi" w:cstheme="minorHAnsi" w:hAnsiTheme="minorHAnsi"/>
          <w:sz w:val="20"/>
          <w:szCs w:val="20"/>
          <w:lang w:val="pl-PL"/>
        </w:rPr>
        <w:t xml:space="preserve"> w zakresie przesunięcia w zakresie ponoszonych wydatków</w:t>
      </w:r>
      <w:r>
        <w:rPr>
          <w:rFonts w:cs="Calibri" w:ascii="Calibri" w:hAnsi="Calibri" w:asciiTheme="minorHAnsi" w:cstheme="minorHAnsi" w:hAnsiTheme="minorHAnsi"/>
          <w:sz w:val="20"/>
          <w:szCs w:val="20"/>
        </w:rPr>
        <w:t>, uważa się za pobranie części dotacji w nadmiernej wysokości.</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5. Szczegółowe zasady przyznawania i rozliczania dotacji z budżetu Gminy Dąbrowa Górnicza                     </w:t>
        <w:br/>
        <w:t>na realizację zadań własnych gminy i powiatu w 2022 roku określone zostały w Zarządzeniu                   2072.2021 Prezydenta Miasta Dąbrowa Górnicza z dnia 04.11.2021 r. Ze szczegółowymi warunkami konkursu można zapoznać się w Wydziale Organizacji Pozarządowych i Aktywności Obywatelskiej Urzędu Miejskiego w Dąbrowie Górniczej - Centrum Aktywności Obywatelskiej w Dąbrowie Górniczej ul. Sienkiewicza 6a (pok. 9) oraz na stronach ngo.dabrowa-gornicza.pl i www.bip.dabrowa-gornicza.pl..</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6. Podmiotami mogącymi ubiegać się o dotacje są: </w:t>
      </w:r>
    </w:p>
    <w:p>
      <w:pPr>
        <w:pStyle w:val="Normal"/>
        <w:spacing w:lineRule="auto" w:line="360"/>
        <w:rPr>
          <w:rFonts w:cs="Calibri" w:cstheme="minorHAnsi"/>
          <w:sz w:val="20"/>
          <w:szCs w:val="20"/>
        </w:rPr>
      </w:pPr>
      <w:r>
        <w:rPr>
          <w:rFonts w:cs="Calibri" w:cstheme="minorHAnsi"/>
          <w:sz w:val="20"/>
          <w:szCs w:val="20"/>
        </w:rPr>
        <w:t xml:space="preserve">a) organizacje pozarządowe, czyli niebędące jednostkami sektora finansów publicznych, w rozumieniu ustawy o finansach publicznych, niedziałające w celu osiągnięcia zysku – osoby prawne lub jednostki organizacyjne nieposiadające osobowości prawnej, którym odrębna ustawa przyznaje zdolność prawną, w tym fundacje </w:t>
        <w:br/>
        <w:t xml:space="preserve">i stowarzyszenia, z wyłączeniem: partii politycznych, związków zawodowych i organizacji pracodawców, samorządów zawodowych, fundacji utworzonych przez partie polityczne; </w:t>
      </w:r>
    </w:p>
    <w:p>
      <w:pPr>
        <w:pStyle w:val="Normal"/>
        <w:spacing w:lineRule="auto" w:line="360"/>
        <w:rPr>
          <w:rFonts w:cs="Calibri" w:cstheme="minorHAnsi"/>
          <w:sz w:val="20"/>
          <w:szCs w:val="20"/>
        </w:rPr>
      </w:pPr>
      <w:r>
        <w:rPr>
          <w:rFonts w:cs="Calibri" w:cstheme="minorHAnsi"/>
          <w:sz w:val="20"/>
          <w:szCs w:val="20"/>
        </w:rPr>
        <w:t xml:space="preserve">b) osoby prawne i jednostki organizacyjne działające na podstawie przepisów o stosunku Państwa  do Kościoła Katolickiego w Rzeczypospolitej Polskiej, o stosunku Państwa do innych kościołów                                              </w:t>
        <w:br/>
        <w:t xml:space="preserve">i związków wyznaniowych oraz o gwarancjach wolności sumienia i wyznania, jeżeli ich cele statutowe obejmują prowadzenie działalności pożytku publicznego; </w:t>
      </w:r>
    </w:p>
    <w:p>
      <w:pPr>
        <w:pStyle w:val="Normal"/>
        <w:spacing w:lineRule="auto" w:line="360"/>
        <w:rPr>
          <w:rFonts w:cs="Calibri" w:cstheme="minorHAnsi"/>
          <w:sz w:val="20"/>
          <w:szCs w:val="20"/>
        </w:rPr>
      </w:pPr>
      <w:r>
        <w:rPr>
          <w:rFonts w:cs="Calibri" w:cstheme="minorHAnsi"/>
          <w:sz w:val="20"/>
          <w:szCs w:val="20"/>
        </w:rPr>
        <w:t xml:space="preserve">c) stowarzyszenia jednostek samorządu terytorialnego; </w:t>
      </w:r>
    </w:p>
    <w:p>
      <w:pPr>
        <w:pStyle w:val="Normal"/>
        <w:spacing w:lineRule="auto" w:line="360"/>
        <w:rPr>
          <w:rFonts w:cs="Calibri" w:cstheme="minorHAnsi"/>
          <w:sz w:val="20"/>
          <w:szCs w:val="20"/>
        </w:rPr>
      </w:pPr>
      <w:r>
        <w:rPr>
          <w:rFonts w:cs="Calibri" w:cstheme="minorHAnsi"/>
          <w:sz w:val="20"/>
          <w:szCs w:val="20"/>
        </w:rPr>
        <w:t xml:space="preserve">d) spółdzielnie socjalne; </w:t>
      </w:r>
    </w:p>
    <w:p>
      <w:pPr>
        <w:pStyle w:val="Normal"/>
        <w:spacing w:lineRule="auto" w:line="360"/>
        <w:rPr>
          <w:rFonts w:cs="Calibri" w:cstheme="minorHAnsi"/>
          <w:sz w:val="20"/>
          <w:szCs w:val="20"/>
        </w:rPr>
      </w:pPr>
      <w:r>
        <w:rPr>
          <w:rFonts w:cs="Calibri" w:cstheme="minorHAnsi"/>
          <w:sz w:val="20"/>
          <w:szCs w:val="20"/>
        </w:rPr>
        <w:t xml:space="preserve">e) spółki akcyjne i spółki z ograniczoną odpowiedzialnością oraz kluby sportowe będące spółkami działającymi na podstawie przepisów ustawy z dnia 25 czerwca 2010 r. o sporcie (tekst jednolity Dz. U. z 2020 r. poz. 1133), które nie działają w celu osiągnięcia zysku oraz przeznaczają całość dochodu na realizację celów statutowych oraz nie przeznaczają zysku do podziału między swoich udziałowców, akcjonariuszy i pracowników.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 xml:space="preserve">7. Oferta konkursowa powinna być złożona kompletna i sporządzona zgodnie ze wzorem stanowiącym załącznik nr 1 do Zasad stanowiących załącznik do Zarządzenia Nr 2072.2021 Prezydenta Miasta Dąbrowa Górnicza z dnia 04.11.2021 r. w sprawie: przyjęcia zasad przyznawania i rozliczania dotacji z budżetu gminy Dąbrowa Górnicza na realizację zadań własnych gminy i powiatu w 2021 r. w ramach art. 13 ustawy o działalności pożytku publicznego i o wolontariacie (tryb konkursowy) powinna być złożona i sporządzona wyłącznie w formie elektronicznej za pośrednictwem generatora dostępnego na stronie internetowej witkac.pl. </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8. Konieczne jest przesłanie skanu z potwierdzeniem złożenia oferty wygenerowanego z systemu witkac.pl zawierającym sumę kontrolną na adres:cao@dg.pl w terminie podanym w pkt 13 ogłoszenia tj. 14 lutego godzina 16.00. Potwierdzenie powinno być podpisane przez osoby upoważnione do reprezentacji podmiotu zgodnie z zapisami KRS. Brak przesłania skanu skutkował będzie odrzuceniem oferty. Ze względu na sytuację epidemiologiczną związaną z rozprzestrzenieniem się wirusa COVID-19 oryginał oferty należało będzie przedstawić na etapie podpisywania umowy.</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9. Ramowy wzór wniosku oferty realizacji zadania publicznego jest dostępny bezpośrednio  </w:t>
        <w:br/>
        <w:t>w Wydziale Organizacji Pozarządowych i Aktywności Obywatelskiej Urzędu Miejskiego w Dąbrowie Górniczej - Centrum Aktywności Obywatelskiej w Dąbrowie Górniczej ul. Sienkiewicza 6a (pok. 9) lub w wersji elektronicznej na stronach: ngo.dabrowa-gornicza.pl, www.bip.dabrowa-gornicza.pl.</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10. Do oferty konkursowej należy dołączyć: </w:t>
      </w:r>
    </w:p>
    <w:p>
      <w:pPr>
        <w:pStyle w:val="Normal"/>
        <w:spacing w:lineRule="auto" w:line="360"/>
        <w:rPr>
          <w:rFonts w:cs="Calibri" w:cstheme="minorHAnsi"/>
          <w:sz w:val="20"/>
          <w:szCs w:val="20"/>
        </w:rPr>
      </w:pPr>
      <w:r>
        <w:rPr>
          <w:rFonts w:cs="Calibri" w:cstheme="minorHAnsi"/>
          <w:sz w:val="20"/>
          <w:szCs w:val="20"/>
        </w:rPr>
        <w:t xml:space="preserve">a) aktualny odpis z rejestru właściwego rejestru dla podmiotów, które nie podlegają obowiązkowi wpisu do KRS (dotyczy podmiotów, które nie figurują w rejestrach prowadzonych przez Urząd Miejski w Dąbrowie Górniczej). </w:t>
      </w:r>
    </w:p>
    <w:p>
      <w:pPr>
        <w:pStyle w:val="Normal"/>
        <w:spacing w:lineRule="auto" w:line="360"/>
        <w:rPr>
          <w:rFonts w:cs="Calibri" w:cstheme="minorHAnsi"/>
          <w:sz w:val="20"/>
          <w:szCs w:val="20"/>
        </w:rPr>
      </w:pPr>
      <w:r>
        <w:rPr>
          <w:rFonts w:cs="Calibri" w:cstheme="minorHAnsi"/>
          <w:sz w:val="20"/>
          <w:szCs w:val="20"/>
        </w:rPr>
        <w:t xml:space="preserve">b) w przypadku organizacji zadania na obiektach nie będących własnością podmiotu dokumenty potwierdzające możliwość przeprowadzenia przedsięwzięcia we wskazanym miejscu, czyli: list intencyjny, umowę partnerską, oświadczenie właściciela obiektu/posesji. </w:t>
      </w:r>
    </w:p>
    <w:p>
      <w:pPr>
        <w:pStyle w:val="Normal"/>
        <w:spacing w:lineRule="auto" w:line="360"/>
        <w:rPr>
          <w:rFonts w:cs="Calibri" w:cstheme="minorHAnsi"/>
          <w:sz w:val="20"/>
          <w:szCs w:val="20"/>
        </w:rPr>
      </w:pPr>
      <w:r>
        <w:rPr>
          <w:rFonts w:cs="Calibri" w:cstheme="minorHAnsi"/>
          <w:sz w:val="20"/>
          <w:szCs w:val="20"/>
        </w:rPr>
        <w:t xml:space="preserve">c) w przypadku wskazania partnera biorącego udział w realizacji zadania: umowę partnerską, list intencyjny lub oświadczenie partnera określające jego wkład finansowy lub niefinansowy w zadanie. </w:t>
      </w:r>
    </w:p>
    <w:p>
      <w:pPr>
        <w:pStyle w:val="Normal"/>
        <w:spacing w:lineRule="auto" w:line="360"/>
        <w:rPr>
          <w:rFonts w:cs="Calibri" w:cstheme="minorHAnsi"/>
          <w:sz w:val="20"/>
          <w:szCs w:val="20"/>
        </w:rPr>
      </w:pPr>
      <w:r>
        <w:rPr>
          <w:rFonts w:cs="Calibri" w:cstheme="minorHAnsi"/>
          <w:sz w:val="20"/>
          <w:szCs w:val="20"/>
        </w:rPr>
        <w:t xml:space="preserve">d) w przypadku oferty wspólnej: umowę zawartą miedzy podmiotami, określającą zakres ich świadczeń składających się na realizację zadania publicznego, sposób reprezentacji podmiotów wobec Urzędu Miejskiego w Dąbrowie Górniczej. </w:t>
      </w:r>
    </w:p>
    <w:p>
      <w:pPr>
        <w:pStyle w:val="Normal"/>
        <w:spacing w:lineRule="auto" w:line="360"/>
        <w:rPr>
          <w:rFonts w:cs="Calibri" w:cstheme="minorHAnsi"/>
          <w:sz w:val="20"/>
          <w:szCs w:val="20"/>
        </w:rPr>
      </w:pPr>
      <w:r>
        <w:rPr>
          <w:rFonts w:cs="Calibri" w:cstheme="minorHAnsi"/>
          <w:sz w:val="20"/>
          <w:szCs w:val="20"/>
        </w:rPr>
        <w:t xml:space="preserve">e) w przypadku złożenia oferty przez spółdzielnię socjalną – statut. </w:t>
      </w:r>
    </w:p>
    <w:p>
      <w:pPr>
        <w:pStyle w:val="Normal"/>
        <w:spacing w:lineRule="auto" w:line="360"/>
        <w:rPr>
          <w:rFonts w:cs="Calibri" w:cstheme="minorHAnsi"/>
          <w:sz w:val="20"/>
          <w:szCs w:val="20"/>
        </w:rPr>
      </w:pPr>
      <w:r>
        <w:rPr>
          <w:rFonts w:cs="Calibri" w:cstheme="minorHAnsi"/>
          <w:sz w:val="20"/>
          <w:szCs w:val="20"/>
        </w:rPr>
        <w:t xml:space="preserve">f) w przypadku złożenia oferty przez spółkę akcyjną i spółkę z ograniczoną odpowiedzialnością lub kluby sportowe będące spółkami działającymi na podstawie przepisów ustawy z dnia 25 czerwca 2010 r. o sporcie – dokument potwierdzający działanie w formule non profit bądź not for profit.  </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11. Oferta musi zostać podpisana przez osoby upoważnione zgodnie ze statutem i KRS (bądź innym właściwym rejestrem). Za prawidłowe uznane zostaną: podpisy z pieczęcią imienną, wskazującą funkcję w organie reprezentującym, a w przypadku braku pieczątki odręczny czytelny podpisy ze wskazaniem funkcji w organie reprezentującym lub wydruk imienia i nazwiska ze wskazaniem funkcji w organie reprezentującym opatrzony podpisem. Nie wystarczy parafowanie dokumentu.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 xml:space="preserve">12. Wszelkie dokumenty powinny być złożone w postaci oryginału lub kserokopii potwierdzonej za zgodność z oryginałem i podpisane przez uprawnione osoby zgodnie ze statutem i KRS (innym rejestrem).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 xml:space="preserve">13. Ofertę konkursową na realizację wyżej wymienionego zadania należy złożyć w nieprzekraczalnym terminie do:  </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Mar>
              <w:left w:w="108" w:type="dxa"/>
            </w:tcMar>
          </w:tcPr>
          <w:p>
            <w:pPr>
              <w:pStyle w:val="Normal"/>
              <w:spacing w:lineRule="auto" w:line="360"/>
              <w:rPr>
                <w:rFonts w:cs="Calibri" w:cstheme="minorHAnsi"/>
                <w:b/>
                <w:b/>
                <w:color w:val="FF0000"/>
                <w:sz w:val="20"/>
                <w:szCs w:val="20"/>
              </w:rPr>
            </w:pPr>
            <w:r>
              <w:rPr>
                <w:rFonts w:cs="Calibri" w:cstheme="minorHAnsi"/>
                <w:b/>
                <w:color w:val="000000"/>
                <w:sz w:val="20"/>
                <w:szCs w:val="20"/>
              </w:rPr>
              <w:t xml:space="preserve">14 lutego r. godzina 16:00 </w:t>
            </w:r>
          </w:p>
        </w:tc>
      </w:tr>
    </w:tbl>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14. Do przeprowadzenia konkursu oraz rozpatrzenia ofert na dotacje z budżetu gminy Dąbrowa Górnicza na 2022 r. powołana została komisja konkursowa. Przebieg prac komisji oraz sposób jej powołania określa Zarządzenie Nr 2072.2021 Prezydenta Miasta Dąbrowa Górnicza z dnia 04.11.2021 r.  w sprawie: przyjęcia zasad przyznawania i rozliczania dotacji z budżetu gminy Dąbrowa Górnicza na realizację zadań własnych gminy i powiatu w 2022 r. w ramach art. 13 ustawy o działalności pożytku publicznego i o wolontariacie (tryb konkursowy).</w:t>
      </w:r>
    </w:p>
    <w:p>
      <w:pPr>
        <w:pStyle w:val="Normal"/>
        <w:spacing w:lineRule="auto" w:line="360"/>
        <w:rPr>
          <w:rFonts w:cs="Calibri" w:cstheme="minorHAnsi"/>
          <w:color w:val="FF0000"/>
          <w:sz w:val="20"/>
          <w:szCs w:val="20"/>
        </w:rPr>
      </w:pPr>
      <w:r>
        <w:rPr>
          <w:rFonts w:cs="Calibri" w:cstheme="minorHAnsi"/>
          <w:color w:val="FF0000"/>
          <w:sz w:val="20"/>
          <w:szCs w:val="20"/>
        </w:rPr>
        <w:t xml:space="preserve">  </w:t>
      </w:r>
    </w:p>
    <w:p>
      <w:pPr>
        <w:pStyle w:val="Normal"/>
        <w:spacing w:lineRule="auto" w:line="360"/>
        <w:rPr>
          <w:rFonts w:cs="Calibri" w:cstheme="minorHAnsi"/>
          <w:sz w:val="20"/>
          <w:szCs w:val="20"/>
        </w:rPr>
      </w:pPr>
      <w:r>
        <w:rPr>
          <w:rFonts w:cs="Calibri" w:cstheme="minorHAnsi"/>
          <w:sz w:val="20"/>
          <w:szCs w:val="20"/>
        </w:rPr>
        <w:t xml:space="preserve">15. Przy rozpatrywaniu ofert komisja oceni złożone oferty pod względem formalnym oraz merytorycznym zgodnie z procedurą określoną w Zarządzeniu Nr 2072.2021 Prezydenta Miasta Dąbrowa Górnicza z dnia 04.11.2021 r. w sprawie: przyjęcia zasad przyznawania i rozliczania dotacji </w:t>
        <w:br/>
        <w:t>z budżetu gminy Dąbrowa Górnicza na realizację zadań własnych gminy i powiatu w 2022 r. w ramach art. 13 ustawy o działalności pożytku publicznego i o wolontariacie (tryb konkursowy).</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16. Wnioski będą analizowane i oceniane przez komisję konkursową pod względem formalnym oraz merytorycznym na podstawie Karty oceny wniosku w konkursie na realizację zadań własnych gminy w 2022 r., stanowiącej załącznik nr 3 do Zasad stanowiących załącznik do Zarządzenia Nr 2072.2021 Prezydenta Miasta Dąbrowa Górnicza z dnia 04.11.2021 r. w sprawie: przyjęcia zasad przyznawania </w:t>
        <w:br/>
        <w:t>i rozliczania dotacji z budżetu gminy Dąbrowa Górnicza na realizację zadań własnych gminy i powiatu w 2022 r. w ramach art. 13 ustawy o działalności pożytku publicznego i o wolontariacie (tryb konkursowy).</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17. Dotacja może być przyznana tylko w przypadku spełnienia przez ofertę kryteriów formalnych                       </w:t>
        <w:br/>
        <w:t xml:space="preserve">i uzyskaniu przez wniosek w ocenie merytorycznej 60% punktów.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 xml:space="preserve">18. Za najkorzystniejsze uznaje się oferty, które otrzymały kolejno największą liczbę punktów w danym zadaniu.  </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19. Na podstawie rankingu najlepiej ocenionych wniosków w danym zadaniu sporządza się listę Dotowanych z wysokością środków przyznanych na realizację zadania Gminy/Powiatu. Listę tę sporządza się do wyczerpania środków wskazanych w ogłoszeniu o konkursie.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 xml:space="preserve">20. Dotacja nie może zostać przyznana na kwotę mniejszą niż 50% wnioskowanej przez podmiot kwoty.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21. Oferty na realizację zadania będą rozpatrzone w  terminie do:</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Mar>
              <w:left w:w="108" w:type="dxa"/>
            </w:tcMar>
          </w:tcPr>
          <w:p>
            <w:pPr>
              <w:pStyle w:val="Normal"/>
              <w:spacing w:lineRule="auto" w:line="360"/>
              <w:rPr/>
            </w:pPr>
            <w:r>
              <w:rPr>
                <w:rFonts w:cs="Calibri" w:cstheme="minorHAnsi"/>
                <w:b/>
                <w:sz w:val="20"/>
                <w:szCs w:val="20"/>
              </w:rPr>
              <w:t>2</w:t>
            </w:r>
            <w:r>
              <w:rPr>
                <w:rFonts w:cs="Calibri" w:cstheme="minorHAnsi"/>
                <w:b/>
                <w:sz w:val="20"/>
                <w:szCs w:val="20"/>
              </w:rPr>
              <w:t xml:space="preserve">4 </w:t>
            </w:r>
            <w:r>
              <w:rPr>
                <w:rFonts w:cs="Calibri" w:cstheme="minorHAnsi"/>
                <w:b/>
                <w:sz w:val="20"/>
                <w:szCs w:val="20"/>
              </w:rPr>
              <w:t>lutego</w:t>
            </w:r>
            <w:r>
              <w:rPr>
                <w:rFonts w:cs="Calibri" w:cstheme="minorHAnsi"/>
                <w:b/>
                <w:sz w:val="20"/>
                <w:szCs w:val="20"/>
              </w:rPr>
              <w:t xml:space="preserve"> 2022 r.</w:t>
            </w:r>
          </w:p>
        </w:tc>
      </w:tr>
    </w:tbl>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pPr>
      <w:r>
        <w:rPr>
          <w:rFonts w:cs="Calibri" w:cstheme="minorHAnsi"/>
          <w:sz w:val="20"/>
          <w:szCs w:val="20"/>
        </w:rPr>
        <w:t xml:space="preserve">22. Zatwierdzone przez Prezydenta Miasta wyniki konkursu bez zbędnej zwłoki ogłasza się poprzez wywieszenie na tablicy ogłoszeń Urzędu Miejskiego w Dąbrowie Górniczej, na Portalu Organizacji Pozarządowych ngo.dabrowa-gornicza.pl i na stronie </w:t>
      </w:r>
      <w:hyperlink r:id="rId2">
        <w:r>
          <w:rPr>
            <w:rStyle w:val="Czeinternetowe"/>
            <w:rFonts w:cs="Calibri" w:cstheme="minorHAnsi"/>
            <w:color w:val="00000A"/>
            <w:sz w:val="20"/>
            <w:szCs w:val="20"/>
          </w:rPr>
          <w:t>www.bip.dabrowagornicza.pl</w:t>
        </w:r>
      </w:hyperlink>
      <w:r>
        <w:rPr>
          <w:rFonts w:cs="Calibri" w:cstheme="minorHAnsi"/>
          <w:sz w:val="20"/>
          <w:szCs w:val="20"/>
        </w:rPr>
        <w:t>.</w:t>
      </w:r>
    </w:p>
    <w:p>
      <w:pPr>
        <w:pStyle w:val="Normal"/>
        <w:spacing w:lineRule="auto" w:line="360"/>
        <w:rPr>
          <w:rFonts w:cs="Calibri" w:cstheme="minorHAnsi"/>
          <w:sz w:val="20"/>
          <w:szCs w:val="20"/>
        </w:rPr>
      </w:pPr>
      <w:r>
        <w:rPr>
          <w:rFonts w:cs="Calibri" w:cstheme="minorHAnsi"/>
          <w:sz w:val="20"/>
          <w:szCs w:val="20"/>
        </w:rPr>
        <w:t xml:space="preserve">  </w:t>
      </w:r>
    </w:p>
    <w:p>
      <w:pPr>
        <w:pStyle w:val="Normal"/>
        <w:spacing w:lineRule="auto" w:line="360"/>
        <w:rPr>
          <w:rFonts w:cs="Calibri" w:cstheme="minorHAnsi"/>
          <w:sz w:val="20"/>
          <w:szCs w:val="20"/>
        </w:rPr>
      </w:pPr>
      <w:r>
        <w:rPr>
          <w:rFonts w:cs="Calibri" w:cstheme="minorHAnsi"/>
          <w:sz w:val="20"/>
          <w:szCs w:val="20"/>
        </w:rPr>
        <w:t xml:space="preserve">23. Od podjętych decyzji nie przysługuje odwołanie.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 xml:space="preserve">24. Złożenie oferty nie jest jednoznaczne z przyznaniem dofinansowania.  </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25. W przypadku przyznania dotacji mniejszej niż wnioskowana, Dotowany dokonuje korekty oferty                    w </w:t>
      </w:r>
      <w:r>
        <w:rPr>
          <w:rFonts w:eastAsia="Times New Roman" w:cs="Calibri" w:cstheme="minorHAnsi"/>
          <w:sz w:val="20"/>
          <w:szCs w:val="20"/>
          <w:lang w:eastAsia="pl-PL"/>
        </w:rPr>
        <w:t xml:space="preserve">zaktualizowanej kalkulacji przewidywanych kosztów realizacji zadania </w:t>
      </w:r>
      <w:r>
        <w:rPr>
          <w:rFonts w:cs="Calibri" w:cstheme="minorHAnsi"/>
          <w:sz w:val="20"/>
          <w:szCs w:val="20"/>
        </w:rPr>
        <w:t xml:space="preserve">stanowiącym załącznik                    nr 1 Zasad stanowiących załącznik do Zarządzenia Nr 2072.2021 Prezydenta Miasta Dąbrowa Górnicza z dnia 04.11.2021 r. w sprawie: przyjęcia zasad przyznawania i rozliczania dotacji z budżetu gminy Dąbrowa Górnicza na realizację zadań własnych gminy i powiatu w 2022 r. w ramach art. </w:t>
        <w:br/>
        <w:t>13 ustawy o działalności pożytku publicznego i o wolontariacie (tryb konkursowy), polegającej na dostosowaniu zakresu merytorycznego i finansowego zadania do realnie przyznanej dotacji.</w:t>
      </w:r>
    </w:p>
    <w:p>
      <w:pPr>
        <w:pStyle w:val="Normal"/>
        <w:spacing w:lineRule="auto" w:line="360"/>
        <w:rPr>
          <w:rFonts w:cs="Calibri" w:cstheme="minorHAnsi"/>
          <w:color w:val="FF0000"/>
          <w:sz w:val="20"/>
          <w:szCs w:val="20"/>
        </w:rPr>
      </w:pPr>
      <w:r>
        <w:rPr>
          <w:rFonts w:cs="Calibri" w:cstheme="minorHAnsi"/>
          <w:color w:val="FF0000"/>
          <w:sz w:val="20"/>
          <w:szCs w:val="20"/>
        </w:rPr>
        <w:t xml:space="preserve">                    </w:t>
      </w:r>
    </w:p>
    <w:p>
      <w:pPr>
        <w:pStyle w:val="Normal"/>
        <w:spacing w:lineRule="auto" w:line="360"/>
        <w:rPr>
          <w:rFonts w:cs="Calibri" w:cstheme="minorHAnsi"/>
          <w:sz w:val="20"/>
          <w:szCs w:val="20"/>
        </w:rPr>
      </w:pPr>
      <w:r>
        <w:rPr>
          <w:rFonts w:cs="Calibri" w:cstheme="minorHAnsi"/>
          <w:sz w:val="20"/>
          <w:szCs w:val="20"/>
        </w:rPr>
        <w:t>26. Zlecenie realizacji zadania odbędzie się na podstawie zawartej umowy na realizację tego zadania.</w:t>
      </w:r>
    </w:p>
    <w:p>
      <w:pPr>
        <w:pStyle w:val="Normal"/>
        <w:spacing w:lineRule="auto" w:line="360"/>
        <w:rPr>
          <w:rFonts w:cs="Calibri" w:cstheme="minorHAnsi"/>
          <w:sz w:val="20"/>
          <w:szCs w:val="20"/>
        </w:rPr>
      </w:pPr>
      <w:r>
        <w:rPr>
          <w:rFonts w:cs="Calibri" w:cstheme="minorHAnsi"/>
          <w:sz w:val="20"/>
          <w:szCs w:val="20"/>
        </w:rPr>
        <w:t xml:space="preserve">  </w:t>
      </w:r>
    </w:p>
    <w:p>
      <w:pPr>
        <w:pStyle w:val="Normal"/>
        <w:spacing w:lineRule="auto" w:line="360"/>
        <w:rPr>
          <w:rFonts w:cs="Calibri" w:cstheme="minorHAnsi"/>
          <w:sz w:val="20"/>
          <w:szCs w:val="20"/>
        </w:rPr>
      </w:pPr>
      <w:r>
        <w:rPr>
          <w:rFonts w:cs="Calibri" w:cstheme="minorHAnsi"/>
          <w:sz w:val="20"/>
          <w:szCs w:val="20"/>
        </w:rPr>
        <w:t xml:space="preserve">27. Przekazane środki publiczne należy wykorzystać zgodnie z celem, na jaki zostały przeznaczone,  a w szczególności z postanowieniami umowy pod rygorem zwrotu dotacji.  </w:t>
      </w:r>
    </w:p>
    <w:p>
      <w:pPr>
        <w:pStyle w:val="Normal"/>
        <w:spacing w:lineRule="auto" w:line="360"/>
        <w:rPr>
          <w:rFonts w:cs="Calibri" w:cstheme="minorHAnsi"/>
          <w:sz w:val="20"/>
          <w:szCs w:val="20"/>
        </w:rPr>
      </w:pPr>
      <w:r>
        <w:rPr>
          <w:rFonts w:cs="Calibri" w:cstheme="minorHAnsi"/>
          <w:sz w:val="20"/>
          <w:szCs w:val="20"/>
        </w:rPr>
      </w:r>
    </w:p>
    <w:p>
      <w:pPr>
        <w:pStyle w:val="Normal"/>
        <w:spacing w:lineRule="auto" w:line="360"/>
        <w:rPr>
          <w:rFonts w:cs="Calibri" w:cstheme="minorHAnsi"/>
          <w:sz w:val="20"/>
          <w:szCs w:val="20"/>
        </w:rPr>
      </w:pPr>
      <w:r>
        <w:rPr>
          <w:rFonts w:cs="Calibri" w:cstheme="minorHAnsi"/>
          <w:sz w:val="20"/>
          <w:szCs w:val="20"/>
        </w:rPr>
        <w:t xml:space="preserve">28. Dysponentowi środków publicznych należy przedstawić częściowe lub końcowe sprawozdanie                 z wykonywania zadania.  </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29. Z budżetu Gminy Dąbrowa Górnicza będą pokrywane jedynie niezbędne koszty związane bezpośrednio z realizacją zadania, które wymienione są w Zarządzeniu Nr 2072.2021 Prezydenta Miasta Dąbrowa Górnicza z dnia 04.11.2021 r.  w sprawie: przyjęcia zasad przyznawania i rozliczania dotacji z budżetu gminy Dąbrowa Górnicza na realizację zadań własnych gminy i powiatu w 2022 r.     </w:t>
        <w:br/>
        <w:t>w ramach art. 13 ustawy o działalności pożytku publicznego i o wolontariacie (tryb konkursowy).</w:t>
      </w:r>
    </w:p>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rPr>
      </w:pPr>
      <w:r>
        <w:rPr>
          <w:rFonts w:cs="Calibri" w:cstheme="minorHAnsi"/>
          <w:sz w:val="20"/>
          <w:szCs w:val="20"/>
        </w:rPr>
        <w:t xml:space="preserve">30. W roku 2020 zrealizowano zadania publiczne z zakresu </w:t>
      </w:r>
      <w:r>
        <w:rPr>
          <w:rFonts w:eastAsia="Calibri" w:cs="Calibri" w:cstheme="minorHAnsi"/>
          <w:color w:val="000000"/>
          <w:sz w:val="20"/>
          <w:szCs w:val="20"/>
        </w:rPr>
        <w:t>kultury i sztuki</w:t>
      </w:r>
      <w:r>
        <w:rPr>
          <w:rFonts w:cs="Calibri" w:cstheme="minorHAnsi"/>
          <w:color w:val="000000"/>
          <w:sz w:val="20"/>
          <w:szCs w:val="20"/>
        </w:rPr>
        <w:t xml:space="preserve">/promocji miasta </w:t>
      </w:r>
      <w:r>
        <w:rPr>
          <w:rFonts w:cs="Calibri" w:cstheme="minorHAnsi"/>
          <w:sz w:val="20"/>
          <w:szCs w:val="20"/>
        </w:rPr>
        <w:t xml:space="preserve">przyznając z budżetu Gminy Dąbrowa Górnicza dotacje w wysokości: </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Mar>
              <w:left w:w="108" w:type="dxa"/>
            </w:tcMar>
          </w:tcPr>
          <w:p>
            <w:pPr>
              <w:pStyle w:val="Normal"/>
              <w:rPr>
                <w:rFonts w:cs="Calibri" w:cstheme="minorHAnsi"/>
                <w:b/>
                <w:b/>
                <w:sz w:val="20"/>
                <w:szCs w:val="20"/>
              </w:rPr>
            </w:pPr>
            <w:r>
              <w:rPr>
                <w:rFonts w:cs="Calibri" w:cstheme="minorHAnsi"/>
                <w:b/>
                <w:bCs/>
                <w:sz w:val="20"/>
                <w:szCs w:val="20"/>
              </w:rPr>
              <w:t>186.000,00 zł  z zakresu kultury i sztuki oraz 107.000,00 zł z zakresu promocji miasta</w:t>
            </w:r>
          </w:p>
        </w:tc>
      </w:tr>
    </w:tbl>
    <w:p>
      <w:pPr>
        <w:pStyle w:val="Normal"/>
        <w:spacing w:lineRule="auto" w:line="360"/>
        <w:rPr>
          <w:rFonts w:cs="Calibri" w:cstheme="minorHAnsi"/>
          <w:color w:val="FF0000"/>
          <w:sz w:val="20"/>
          <w:szCs w:val="20"/>
        </w:rPr>
      </w:pPr>
      <w:r>
        <w:rPr>
          <w:rFonts w:cs="Calibri" w:cstheme="minorHAnsi"/>
          <w:color w:val="FF0000"/>
          <w:sz w:val="20"/>
          <w:szCs w:val="20"/>
        </w:rPr>
      </w:r>
    </w:p>
    <w:p>
      <w:pPr>
        <w:pStyle w:val="Normal"/>
        <w:spacing w:lineRule="auto" w:line="360"/>
        <w:rPr>
          <w:rFonts w:cs="Calibri" w:cstheme="minorHAnsi"/>
          <w:sz w:val="20"/>
          <w:szCs w:val="20"/>
          <w:highlight w:val="yellow"/>
        </w:rPr>
      </w:pPr>
      <w:r>
        <w:rPr>
          <w:rFonts w:cs="Calibri" w:cstheme="minorHAnsi"/>
          <w:sz w:val="20"/>
          <w:szCs w:val="20"/>
        </w:rPr>
        <w:t>31. W roku 2021 zrealizowano zadania publiczne z zakresu kultury i</w:t>
      </w:r>
      <w:r>
        <w:rPr>
          <w:rFonts w:cs="Calibri" w:cstheme="minorHAnsi"/>
          <w:color w:val="000000"/>
          <w:sz w:val="20"/>
          <w:szCs w:val="20"/>
        </w:rPr>
        <w:t xml:space="preserve"> sztuki/promocji miasta </w:t>
      </w:r>
      <w:r>
        <w:rPr>
          <w:rFonts w:cs="Calibri" w:cstheme="minorHAnsi"/>
          <w:sz w:val="20"/>
          <w:szCs w:val="20"/>
        </w:rPr>
        <w:t>przyznając z budżetu Gminy Dąbrowa Górnicza dotacje w wysokości:</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Mar>
              <w:left w:w="108" w:type="dxa"/>
            </w:tcMar>
          </w:tcPr>
          <w:p>
            <w:pPr>
              <w:pStyle w:val="Normal"/>
              <w:rPr>
                <w:rFonts w:cs="Calibri" w:cstheme="minorHAnsi"/>
                <w:b/>
                <w:b/>
                <w:sz w:val="20"/>
                <w:szCs w:val="20"/>
              </w:rPr>
            </w:pPr>
            <w:r>
              <w:rPr>
                <w:rFonts w:cs="Calibri" w:cstheme="minorHAnsi"/>
                <w:b/>
                <w:sz w:val="20"/>
                <w:szCs w:val="20"/>
              </w:rPr>
              <w:t xml:space="preserve">140.000,00 zł  z zakresu kultury i sztuki oraz </w:t>
            </w:r>
            <w:r>
              <w:rPr>
                <w:rFonts w:cs="Calibri" w:cstheme="minorHAnsi"/>
                <w:b/>
                <w:bCs/>
                <w:sz w:val="20"/>
                <w:szCs w:val="20"/>
              </w:rPr>
              <w:t>110.000,00 zł z zakresu promocji miasta</w:t>
            </w:r>
          </w:p>
        </w:tc>
      </w:tr>
    </w:tbl>
    <w:p>
      <w:pPr>
        <w:pStyle w:val="Normal"/>
        <w:spacing w:lineRule="auto" w:line="360"/>
        <w:rPr>
          <w:rFonts w:cs="Calibri" w:cstheme="minorHAnsi"/>
          <w:color w:val="FF0000"/>
          <w:sz w:val="20"/>
          <w:szCs w:val="20"/>
          <w:u w:val="single"/>
        </w:rPr>
      </w:pPr>
      <w:r>
        <w:rPr>
          <w:rFonts w:cs="Calibri" w:cstheme="minorHAnsi"/>
          <w:color w:val="FF0000"/>
          <w:sz w:val="20"/>
          <w:szCs w:val="20"/>
          <w:u w:val="single"/>
        </w:rPr>
      </w:r>
    </w:p>
    <w:p>
      <w:pPr>
        <w:pStyle w:val="Normal"/>
        <w:spacing w:lineRule="auto" w:line="360"/>
        <w:rPr>
          <w:rFonts w:cs="Calibri" w:cstheme="minorHAnsi"/>
          <w:sz w:val="20"/>
          <w:szCs w:val="20"/>
        </w:rPr>
      </w:pPr>
      <w:r>
        <w:rPr>
          <w:rFonts w:cs="Calibri" w:cstheme="minorHAnsi"/>
          <w:sz w:val="20"/>
          <w:szCs w:val="20"/>
        </w:rPr>
        <w:t>Parafowała:</w:t>
      </w:r>
    </w:p>
    <w:p>
      <w:pPr>
        <w:pStyle w:val="Normal"/>
        <w:spacing w:lineRule="auto" w:line="360"/>
        <w:rPr>
          <w:rFonts w:cs="Calibri" w:cstheme="minorHAnsi"/>
          <w:sz w:val="20"/>
          <w:szCs w:val="20"/>
        </w:rPr>
      </w:pPr>
      <w:r>
        <w:rPr>
          <w:rFonts w:cs="Calibri" w:cstheme="minorHAnsi"/>
          <w:sz w:val="20"/>
          <w:szCs w:val="20"/>
        </w:rPr>
        <w:t>Magdalena Mike</w:t>
      </w:r>
    </w:p>
    <w:p>
      <w:pPr>
        <w:pStyle w:val="Normal"/>
        <w:spacing w:lineRule="auto" w:line="360"/>
        <w:rPr>
          <w:rFonts w:cs="Calibri" w:cstheme="minorHAnsi"/>
          <w:sz w:val="20"/>
          <w:szCs w:val="20"/>
        </w:rPr>
      </w:pPr>
      <w:r>
        <w:rPr>
          <w:rFonts w:cs="Calibri" w:cstheme="minorHAnsi"/>
          <w:sz w:val="20"/>
          <w:szCs w:val="20"/>
        </w:rPr>
        <w:t xml:space="preserve">Z-ca Naczelnika WOP </w:t>
      </w:r>
    </w:p>
    <w:p>
      <w:pPr>
        <w:pStyle w:val="Normal"/>
        <w:spacing w:lineRule="auto" w:line="360"/>
        <w:rPr>
          <w:rFonts w:cs="Calibri" w:cstheme="minorHAnsi"/>
          <w:color w:val="FF0000"/>
          <w:sz w:val="20"/>
          <w:szCs w:val="20"/>
          <w:u w:val="single"/>
        </w:rPr>
      </w:pPr>
      <w:r>
        <w:rPr>
          <w:rFonts w:cs="Calibri" w:cstheme="minorHAnsi"/>
          <w:color w:val="FF0000"/>
          <w:sz w:val="20"/>
          <w:szCs w:val="20"/>
          <w:u w:val="single"/>
        </w:rPr>
      </w:r>
    </w:p>
    <w:p>
      <w:pPr>
        <w:pStyle w:val="Normal"/>
        <w:spacing w:lineRule="auto" w:line="360"/>
        <w:rPr>
          <w:rFonts w:cs="Calibri" w:cstheme="minorHAnsi"/>
          <w:color w:val="FF0000"/>
          <w:sz w:val="20"/>
          <w:szCs w:val="20"/>
          <w:u w:val="single"/>
        </w:rPr>
      </w:pPr>
      <w:r>
        <w:rPr>
          <w:rFonts w:cs="Calibri" w:cstheme="minorHAnsi"/>
          <w:color w:val="FF0000"/>
          <w:sz w:val="20"/>
          <w:szCs w:val="20"/>
          <w:u w:val="single"/>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egoe UI">
    <w:charset w:val="ee"/>
    <w:family w:val="roman"/>
    <w:pitch w:val="variable"/>
  </w:font>
  <w:font w:name="Calibri Light">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77"/>
        </w:tabs>
        <w:ind w:left="777" w:hanging="360"/>
      </w:pPr>
      <w:rPr>
        <w:rFonts w:ascii="Symbol" w:hAnsi="Symbol" w:cs="Symbol" w:hint="default"/>
        <w:sz w:val="20"/>
        <w:rFonts w:cs="OpenSymbol"/>
      </w:rPr>
    </w:lvl>
    <w:lvl w:ilvl="1">
      <w:start w:val="1"/>
      <w:numFmt w:val="bullet"/>
      <w:lvlText w:val="◦"/>
      <w:lvlJc w:val="left"/>
      <w:pPr>
        <w:tabs>
          <w:tab w:val="num" w:pos="1137"/>
        </w:tabs>
        <w:ind w:left="1137" w:hanging="360"/>
      </w:pPr>
      <w:rPr>
        <w:rFonts w:ascii="OpenSymbol" w:hAnsi="OpenSymbol" w:cs="OpenSymbol" w:hint="default"/>
        <w:rFonts w:cs="OpenSymbol"/>
      </w:rPr>
    </w:lvl>
    <w:lvl w:ilvl="2">
      <w:start w:val="1"/>
      <w:numFmt w:val="bullet"/>
      <w:lvlText w:val="▪"/>
      <w:lvlJc w:val="left"/>
      <w:pPr>
        <w:tabs>
          <w:tab w:val="num" w:pos="1497"/>
        </w:tabs>
        <w:ind w:left="1497" w:hanging="360"/>
      </w:pPr>
      <w:rPr>
        <w:rFonts w:ascii="OpenSymbol" w:hAnsi="OpenSymbol" w:cs="OpenSymbol" w:hint="default"/>
        <w:rFonts w:cs="OpenSymbol"/>
      </w:rPr>
    </w:lvl>
    <w:lvl w:ilvl="3">
      <w:start w:val="1"/>
      <w:numFmt w:val="bullet"/>
      <w:lvlText w:val=""/>
      <w:lvlJc w:val="left"/>
      <w:pPr>
        <w:tabs>
          <w:tab w:val="num" w:pos="1857"/>
        </w:tabs>
        <w:ind w:left="1857" w:hanging="360"/>
      </w:pPr>
      <w:rPr>
        <w:rFonts w:ascii="Symbol" w:hAnsi="Symbol" w:cs="Symbol" w:hint="default"/>
        <w:rFonts w:cs="OpenSymbol"/>
      </w:rPr>
    </w:lvl>
    <w:lvl w:ilvl="4">
      <w:start w:val="1"/>
      <w:numFmt w:val="bullet"/>
      <w:lvlText w:val="◦"/>
      <w:lvlJc w:val="left"/>
      <w:pPr>
        <w:tabs>
          <w:tab w:val="num" w:pos="2217"/>
        </w:tabs>
        <w:ind w:left="2217" w:hanging="360"/>
      </w:pPr>
      <w:rPr>
        <w:rFonts w:ascii="OpenSymbol" w:hAnsi="OpenSymbol" w:cs="OpenSymbol" w:hint="default"/>
        <w:rFonts w:cs="OpenSymbol"/>
      </w:rPr>
    </w:lvl>
    <w:lvl w:ilvl="5">
      <w:start w:val="1"/>
      <w:numFmt w:val="bullet"/>
      <w:lvlText w:val="▪"/>
      <w:lvlJc w:val="left"/>
      <w:pPr>
        <w:tabs>
          <w:tab w:val="num" w:pos="2577"/>
        </w:tabs>
        <w:ind w:left="2577" w:hanging="360"/>
      </w:pPr>
      <w:rPr>
        <w:rFonts w:ascii="OpenSymbol" w:hAnsi="OpenSymbol" w:cs="OpenSymbol" w:hint="default"/>
        <w:rFonts w:cs="OpenSymbol"/>
      </w:rPr>
    </w:lvl>
    <w:lvl w:ilvl="6">
      <w:start w:val="1"/>
      <w:numFmt w:val="bullet"/>
      <w:lvlText w:val=""/>
      <w:lvlJc w:val="left"/>
      <w:pPr>
        <w:tabs>
          <w:tab w:val="num" w:pos="2937"/>
        </w:tabs>
        <w:ind w:left="2937" w:hanging="360"/>
      </w:pPr>
      <w:rPr>
        <w:rFonts w:ascii="Symbol" w:hAnsi="Symbol" w:cs="Symbol" w:hint="default"/>
        <w:rFonts w:cs="OpenSymbol"/>
      </w:rPr>
    </w:lvl>
    <w:lvl w:ilvl="7">
      <w:start w:val="1"/>
      <w:numFmt w:val="bullet"/>
      <w:lvlText w:val="◦"/>
      <w:lvlJc w:val="left"/>
      <w:pPr>
        <w:tabs>
          <w:tab w:val="num" w:pos="3297"/>
        </w:tabs>
        <w:ind w:left="3297" w:hanging="360"/>
      </w:pPr>
      <w:rPr>
        <w:rFonts w:ascii="OpenSymbol" w:hAnsi="OpenSymbol" w:cs="OpenSymbol" w:hint="default"/>
        <w:rFonts w:cs="OpenSymbol"/>
      </w:rPr>
    </w:lvl>
    <w:lvl w:ilvl="8">
      <w:start w:val="1"/>
      <w:numFmt w:val="bullet"/>
      <w:lvlText w:val="▪"/>
      <w:lvlJc w:val="left"/>
      <w:pPr>
        <w:tabs>
          <w:tab w:val="num" w:pos="3657"/>
        </w:tabs>
        <w:ind w:left="3657"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2">
    <w:name w:val="Heading 2"/>
    <w:basedOn w:val="Normal"/>
    <w:link w:val="Nagwek2Znak"/>
    <w:unhideWhenUsed/>
    <w:qFormat/>
    <w:rsid w:val="005c1e5a"/>
    <w:pPr>
      <w:keepNext/>
      <w:spacing w:before="240" w:after="60"/>
      <w:outlineLvl w:val="1"/>
    </w:pPr>
    <w:rPr>
      <w:rFonts w:ascii="Cambria" w:hAnsi="Cambria" w:eastAsia="Times New Roman" w:cs="Times New Roman"/>
      <w:b/>
      <w:bCs/>
      <w:i/>
      <w:iCs/>
      <w:sz w:val="28"/>
      <w:szCs w:val="28"/>
      <w:lang w:val="x-none" w:eastAsia="x-none"/>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qFormat/>
    <w:rsid w:val="005c1e5a"/>
    <w:rPr>
      <w:rFonts w:ascii="Cambria" w:hAnsi="Cambria" w:eastAsia="Times New Roman" w:cs="Times New Roman"/>
      <w:b/>
      <w:bCs/>
      <w:i/>
      <w:iCs/>
      <w:sz w:val="28"/>
      <w:szCs w:val="28"/>
      <w:lang w:val="x-none" w:eastAsia="x-none"/>
    </w:rPr>
  </w:style>
  <w:style w:type="character" w:styleId="Czeinternetowe" w:customStyle="1">
    <w:name w:val="Łącze internetowe"/>
    <w:basedOn w:val="DefaultParagraphFont"/>
    <w:uiPriority w:val="99"/>
    <w:unhideWhenUsed/>
    <w:rsid w:val="005c1e5a"/>
    <w:rPr>
      <w:color w:val="0563C1" w:themeColor="hyperlink"/>
      <w:u w:val="single"/>
    </w:rPr>
  </w:style>
  <w:style w:type="character" w:styleId="Tekstpodstawowy2Znak" w:customStyle="1">
    <w:name w:val="Tekst podstawowy 2 Znak"/>
    <w:basedOn w:val="DefaultParagraphFont"/>
    <w:uiPriority w:val="99"/>
    <w:semiHidden/>
    <w:qFormat/>
    <w:rsid w:val="005c1e5a"/>
    <w:rPr/>
  </w:style>
  <w:style w:type="character" w:styleId="Tekstpodstawowy2Znak1" w:customStyle="1">
    <w:name w:val="Tekst podstawowy 2 Znak1"/>
    <w:link w:val="Tekstpodstawowy2"/>
    <w:uiPriority w:val="99"/>
    <w:qFormat/>
    <w:rsid w:val="005c1e5a"/>
    <w:rPr>
      <w:rFonts w:ascii="Times New Roman" w:hAnsi="Times New Roman" w:eastAsia="Lucida Sans Unicode" w:cs="Mangal"/>
      <w:sz w:val="24"/>
      <w:szCs w:val="21"/>
      <w:lang w:val="x-none" w:eastAsia="hi-IN" w:bidi="hi-IN"/>
    </w:rPr>
  </w:style>
  <w:style w:type="character" w:styleId="Annotationreference">
    <w:name w:val="annotation reference"/>
    <w:basedOn w:val="DefaultParagraphFont"/>
    <w:uiPriority w:val="99"/>
    <w:semiHidden/>
    <w:unhideWhenUsed/>
    <w:qFormat/>
    <w:rsid w:val="005c1e5a"/>
    <w:rPr>
      <w:sz w:val="16"/>
      <w:szCs w:val="16"/>
    </w:rPr>
  </w:style>
  <w:style w:type="character" w:styleId="TekstkomentarzaZnak" w:customStyle="1">
    <w:name w:val="Tekst komentarza Znak"/>
    <w:basedOn w:val="DefaultParagraphFont"/>
    <w:link w:val="Tekstkomentarza"/>
    <w:uiPriority w:val="99"/>
    <w:semiHidden/>
    <w:qFormat/>
    <w:rsid w:val="00182ed5"/>
    <w:rPr>
      <w:sz w:val="20"/>
      <w:szCs w:val="20"/>
    </w:rPr>
  </w:style>
  <w:style w:type="character" w:styleId="TematkomentarzaZnak" w:customStyle="1">
    <w:name w:val="Temat komentarza Znak"/>
    <w:basedOn w:val="TekstkomentarzaZnak"/>
    <w:link w:val="Tematkomentarza"/>
    <w:uiPriority w:val="99"/>
    <w:semiHidden/>
    <w:qFormat/>
    <w:rsid w:val="00182ed5"/>
    <w:rPr>
      <w:b/>
      <w:bCs/>
      <w:sz w:val="20"/>
      <w:szCs w:val="20"/>
    </w:rPr>
  </w:style>
  <w:style w:type="character" w:styleId="TekstdymkaZnak" w:customStyle="1">
    <w:name w:val="Tekst dymka Znak"/>
    <w:basedOn w:val="DefaultParagraphFont"/>
    <w:link w:val="Tekstdymka"/>
    <w:uiPriority w:val="99"/>
    <w:semiHidden/>
    <w:qFormat/>
    <w:rsid w:val="003d6a22"/>
    <w:rPr>
      <w:rFonts w:ascii="Segoe UI" w:hAnsi="Segoe UI" w:cs="Segoe UI"/>
      <w:sz w:val="18"/>
      <w:szCs w:val="18"/>
    </w:rPr>
  </w:style>
  <w:style w:type="character" w:styleId="Object" w:customStyle="1">
    <w:name w:val="object"/>
    <w:basedOn w:val="DefaultParagraphFont"/>
    <w:qFormat/>
    <w:rsid w:val="003d6a22"/>
    <w:rPr/>
  </w:style>
  <w:style w:type="character" w:styleId="WWCharLFO2LVL1" w:customStyle="1">
    <w:name w:val="WW_CharLFO2LVL1"/>
    <w:qFormat/>
    <w:rPr>
      <w:rFonts w:ascii="Calibri Light" w:hAnsi="Calibri Light" w:eastAsia="Calibri" w:cs="Calibri Light"/>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rPr>
  </w:style>
  <w:style w:type="character" w:styleId="WWCharLFO2LVL4" w:customStyle="1">
    <w:name w:val="WW_CharLFO2LVL4"/>
    <w:qFormat/>
    <w:rPr>
      <w:rFonts w:ascii="Symbol" w:hAnsi="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rPr>
  </w:style>
  <w:style w:type="character" w:styleId="WWCharLFO2LVL7" w:customStyle="1">
    <w:name w:val="WW_CharLFO2LVL7"/>
    <w:qFormat/>
    <w:rPr>
      <w:rFonts w:ascii="Symbol" w:hAnsi="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rPr>
  </w:style>
  <w:style w:type="character" w:styleId="WWCharLFO3LVL1" w:customStyle="1">
    <w:name w:val="WW_CharLFO3LVL1"/>
    <w:qFormat/>
    <w:rPr>
      <w:rFonts w:ascii="Calibri Light" w:hAnsi="Calibri Light" w:eastAsia="Times New Roman" w:cs="Calibri Light"/>
    </w:rPr>
  </w:style>
  <w:style w:type="character" w:styleId="WWCharLFO3LVL2" w:customStyle="1">
    <w:name w:val="WW_CharLFO3LVL2"/>
    <w:qFormat/>
    <w:rPr>
      <w:rFonts w:ascii="Courier New" w:hAnsi="Courier New" w:cs="Courier New"/>
    </w:rPr>
  </w:style>
  <w:style w:type="character" w:styleId="WWCharLFO3LVL3" w:customStyle="1">
    <w:name w:val="WW_CharLFO3LVL3"/>
    <w:qFormat/>
    <w:rPr>
      <w:rFonts w:ascii="Wingdings" w:hAnsi="Wingdings"/>
    </w:rPr>
  </w:style>
  <w:style w:type="character" w:styleId="WWCharLFO3LVL4" w:customStyle="1">
    <w:name w:val="WW_CharLFO3LVL4"/>
    <w:qFormat/>
    <w:rPr>
      <w:rFonts w:ascii="Symbol" w:hAnsi="Symbol"/>
    </w:rPr>
  </w:style>
  <w:style w:type="character" w:styleId="WWCharLFO3LVL5" w:customStyle="1">
    <w:name w:val="WW_CharLFO3LVL5"/>
    <w:qFormat/>
    <w:rPr>
      <w:rFonts w:ascii="Courier New" w:hAnsi="Courier New" w:cs="Courier New"/>
    </w:rPr>
  </w:style>
  <w:style w:type="character" w:styleId="WWCharLFO3LVL6" w:customStyle="1">
    <w:name w:val="WW_CharLFO3LVL6"/>
    <w:qFormat/>
    <w:rPr>
      <w:rFonts w:ascii="Wingdings" w:hAnsi="Wingdings"/>
    </w:rPr>
  </w:style>
  <w:style w:type="character" w:styleId="WWCharLFO3LVL7" w:customStyle="1">
    <w:name w:val="WW_CharLFO3LVL7"/>
    <w:qFormat/>
    <w:rPr>
      <w:rFonts w:ascii="Symbol" w:hAnsi="Symbol"/>
    </w:rPr>
  </w:style>
  <w:style w:type="character" w:styleId="WWCharLFO3LVL8" w:customStyle="1">
    <w:name w:val="WW_CharLFO3LVL8"/>
    <w:qFormat/>
    <w:rPr>
      <w:rFonts w:ascii="Courier New" w:hAnsi="Courier New" w:cs="Courier New"/>
    </w:rPr>
  </w:style>
  <w:style w:type="character" w:styleId="WWCharLFO3LVL9" w:customStyle="1">
    <w:name w:val="WW_CharLFO3LVL9"/>
    <w:qFormat/>
    <w:rPr>
      <w:rFonts w:ascii="Wingdings" w:hAnsi="Wingdings"/>
    </w:rPr>
  </w:style>
  <w:style w:type="character" w:styleId="Znakiwypunktowania" w:customStyle="1">
    <w:name w:val="Znaki wypunktowania"/>
    <w:qFormat/>
    <w:rPr>
      <w:rFonts w:ascii="OpenSymbol" w:hAnsi="OpenSymbol" w:eastAsia="OpenSymbol" w:cs="OpenSymbol"/>
    </w:rPr>
  </w:style>
  <w:style w:type="character" w:styleId="WWCharLFO4LVL1" w:customStyle="1">
    <w:name w:val="WW_CharLFO4LVL1"/>
    <w:qFormat/>
    <w:rPr>
      <w:rFonts w:ascii="Symbol" w:hAnsi="Symbol"/>
    </w:rPr>
  </w:style>
  <w:style w:type="character" w:styleId="WWCharLFO4LVL2" w:customStyle="1">
    <w:name w:val="WW_CharLFO4LVL2"/>
    <w:qFormat/>
    <w:rPr>
      <w:rFonts w:ascii="Courier New" w:hAnsi="Courier New" w:cs="Courier New"/>
    </w:rPr>
  </w:style>
  <w:style w:type="character" w:styleId="WWCharLFO4LVL3" w:customStyle="1">
    <w:name w:val="WW_CharLFO4LVL3"/>
    <w:qFormat/>
    <w:rPr>
      <w:rFonts w:ascii="Wingdings" w:hAnsi="Wingdings"/>
    </w:rPr>
  </w:style>
  <w:style w:type="character" w:styleId="WWCharLFO4LVL4" w:customStyle="1">
    <w:name w:val="WW_CharLFO4LVL4"/>
    <w:qFormat/>
    <w:rPr>
      <w:rFonts w:ascii="Symbol" w:hAnsi="Symbol"/>
    </w:rPr>
  </w:style>
  <w:style w:type="character" w:styleId="WWCharLFO4LVL5" w:customStyle="1">
    <w:name w:val="WW_CharLFO4LVL5"/>
    <w:qFormat/>
    <w:rPr>
      <w:rFonts w:ascii="Courier New" w:hAnsi="Courier New" w:cs="Courier New"/>
    </w:rPr>
  </w:style>
  <w:style w:type="character" w:styleId="WWCharLFO4LVL6" w:customStyle="1">
    <w:name w:val="WW_CharLFO4LVL6"/>
    <w:qFormat/>
    <w:rPr>
      <w:rFonts w:ascii="Wingdings" w:hAnsi="Wingdings"/>
    </w:rPr>
  </w:style>
  <w:style w:type="character" w:styleId="WWCharLFO4LVL7" w:customStyle="1">
    <w:name w:val="WW_CharLFO4LVL7"/>
    <w:qFormat/>
    <w:rPr>
      <w:rFonts w:ascii="Symbol" w:hAnsi="Symbol"/>
    </w:rPr>
  </w:style>
  <w:style w:type="character" w:styleId="WWCharLFO4LVL8" w:customStyle="1">
    <w:name w:val="WW_CharLFO4LVL8"/>
    <w:qFormat/>
    <w:rPr>
      <w:rFonts w:ascii="Courier New" w:hAnsi="Courier New" w:cs="Courier New"/>
    </w:rPr>
  </w:style>
  <w:style w:type="character" w:styleId="WWCharLFO4LVL9" w:customStyle="1">
    <w:name w:val="WW_CharLFO4LVL9"/>
    <w:qFormat/>
    <w:rPr>
      <w:rFonts w:ascii="Wingdings" w:hAnsi="Wingdings"/>
    </w:rPr>
  </w:style>
  <w:style w:type="character" w:styleId="WWCharLFO5LVL1" w:customStyle="1">
    <w:name w:val="WW_CharLFO5LVL1"/>
    <w:qFormat/>
    <w:rPr>
      <w:rFonts w:ascii="Calibri Light" w:hAnsi="Calibri Light" w:eastAsia="Times New Roman" w:cs="Calibri Light"/>
    </w:rPr>
  </w:style>
  <w:style w:type="character" w:styleId="WWCharLFO5LVL2" w:customStyle="1">
    <w:name w:val="WW_CharLFO5LVL2"/>
    <w:qFormat/>
    <w:rPr>
      <w:rFonts w:ascii="Courier New" w:hAnsi="Courier New" w:cs="Courier New"/>
    </w:rPr>
  </w:style>
  <w:style w:type="character" w:styleId="WWCharLFO5LVL3" w:customStyle="1">
    <w:name w:val="WW_CharLFO5LVL3"/>
    <w:qFormat/>
    <w:rPr>
      <w:rFonts w:ascii="Wingdings" w:hAnsi="Wingdings"/>
    </w:rPr>
  </w:style>
  <w:style w:type="character" w:styleId="WWCharLFO5LVL4" w:customStyle="1">
    <w:name w:val="WW_CharLFO5LVL4"/>
    <w:qFormat/>
    <w:rPr>
      <w:rFonts w:ascii="Symbol" w:hAnsi="Symbol"/>
    </w:rPr>
  </w:style>
  <w:style w:type="character" w:styleId="WWCharLFO5LVL5" w:customStyle="1">
    <w:name w:val="WW_CharLFO5LVL5"/>
    <w:qFormat/>
    <w:rPr>
      <w:rFonts w:ascii="Courier New" w:hAnsi="Courier New" w:cs="Courier New"/>
    </w:rPr>
  </w:style>
  <w:style w:type="character" w:styleId="WWCharLFO5LVL6" w:customStyle="1">
    <w:name w:val="WW_CharLFO5LVL6"/>
    <w:qFormat/>
    <w:rPr>
      <w:rFonts w:ascii="Wingdings" w:hAnsi="Wingdings"/>
    </w:rPr>
  </w:style>
  <w:style w:type="character" w:styleId="WWCharLFO5LVL7" w:customStyle="1">
    <w:name w:val="WW_CharLFO5LVL7"/>
    <w:qFormat/>
    <w:rPr>
      <w:rFonts w:ascii="Symbol" w:hAnsi="Symbol"/>
    </w:rPr>
  </w:style>
  <w:style w:type="character" w:styleId="WWCharLFO5LVL8" w:customStyle="1">
    <w:name w:val="WW_CharLFO5LVL8"/>
    <w:qFormat/>
    <w:rPr>
      <w:rFonts w:ascii="Courier New" w:hAnsi="Courier New" w:cs="Courier New"/>
    </w:rPr>
  </w:style>
  <w:style w:type="character" w:styleId="WWCharLFO5LVL9" w:customStyle="1">
    <w:name w:val="WW_CharLFO5LVL9"/>
    <w:qFormat/>
    <w:rPr>
      <w:rFonts w:ascii="Wingdings" w:hAnsi="Wingdings"/>
    </w:rPr>
  </w:style>
  <w:style w:type="character" w:styleId="ListLabel1">
    <w:name w:val="ListLabel 1"/>
    <w:qFormat/>
    <w:rPr>
      <w:rFonts w:cs="Symbol"/>
      <w:sz w:val="20"/>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OpenSymbol"/>
      <w:sz w:val="2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sz w:val="20"/>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qFormat/>
    <w:pPr>
      <w:spacing w:before="100" w:after="100"/>
    </w:pPr>
    <w:rPr>
      <w:rFonts w:ascii="Times New Roman" w:hAnsi="Times New Roman" w:eastAsia="Times New Roman" w:cs="Times New Roman"/>
      <w:sz w:val="24"/>
      <w:szCs w:val="24"/>
      <w:lang w:eastAsia="pl-PL"/>
    </w:rPr>
  </w:style>
  <w:style w:type="paragraph" w:styleId="BodyText2">
    <w:name w:val="Body Text 2"/>
    <w:basedOn w:val="Normal"/>
    <w:link w:val="Tekstpodstawowy2Znak1"/>
    <w:uiPriority w:val="99"/>
    <w:unhideWhenUsed/>
    <w:qFormat/>
    <w:rsid w:val="005c1e5a"/>
    <w:pPr>
      <w:widowControl w:val="false"/>
      <w:spacing w:lineRule="auto" w:line="480" w:before="0" w:after="120"/>
      <w:textAlignment w:val="baseline"/>
    </w:pPr>
    <w:rPr>
      <w:rFonts w:ascii="Times New Roman" w:hAnsi="Times New Roman" w:eastAsia="Lucida Sans Unicode" w:cs="Mangal"/>
      <w:sz w:val="24"/>
      <w:szCs w:val="21"/>
      <w:lang w:val="x-none" w:eastAsia="hi-IN" w:bidi="hi-IN"/>
    </w:rPr>
  </w:style>
  <w:style w:type="paragraph" w:styleId="Default" w:customStyle="1">
    <w:name w:val="Default"/>
    <w:qFormat/>
    <w:rsid w:val="00c74198"/>
    <w:pPr>
      <w:widowControl/>
      <w:bidi w:val="0"/>
      <w:jc w:val="left"/>
    </w:pPr>
    <w:rPr>
      <w:rFonts w:ascii="Times New Roman" w:hAnsi="Times New Roman" w:eastAsia="Calibri" w:cs="Times New Roman"/>
      <w:color w:val="000000"/>
      <w:sz w:val="24"/>
      <w:szCs w:val="24"/>
      <w:lang w:val="pl-PL" w:eastAsia="en-US" w:bidi="ar-SA"/>
    </w:rPr>
  </w:style>
  <w:style w:type="paragraph" w:styleId="Annotationtext">
    <w:name w:val="annotation text"/>
    <w:basedOn w:val="Normal"/>
    <w:link w:val="TekstkomentarzaZnak"/>
    <w:uiPriority w:val="99"/>
    <w:semiHidden/>
    <w:unhideWhenUsed/>
    <w:qFormat/>
    <w:rsid w:val="00182ed5"/>
    <w:pPr/>
    <w:rPr>
      <w:sz w:val="20"/>
      <w:szCs w:val="20"/>
    </w:rPr>
  </w:style>
  <w:style w:type="paragraph" w:styleId="Annotationsubject">
    <w:name w:val="annotation subject"/>
    <w:basedOn w:val="Annotationtext"/>
    <w:link w:val="TematkomentarzaZnak"/>
    <w:uiPriority w:val="99"/>
    <w:semiHidden/>
    <w:unhideWhenUsed/>
    <w:qFormat/>
    <w:rsid w:val="00182ed5"/>
    <w:pPr/>
    <w:rPr>
      <w:b/>
      <w:bCs/>
    </w:rPr>
  </w:style>
  <w:style w:type="paragraph" w:styleId="BalloonText">
    <w:name w:val="Balloon Text"/>
    <w:basedOn w:val="Normal"/>
    <w:link w:val="TekstdymkaZnak"/>
    <w:uiPriority w:val="99"/>
    <w:semiHidden/>
    <w:unhideWhenUsed/>
    <w:qFormat/>
    <w:rsid w:val="003d6a22"/>
    <w:pPr/>
    <w:rPr>
      <w:rFonts w:ascii="Segoe UI" w:hAnsi="Segoe UI" w:cs="Segoe UI"/>
      <w:sz w:val="18"/>
      <w:szCs w:val="18"/>
    </w:rPr>
  </w:style>
  <w:style w:type="paragraph" w:styleId="ListParagraph">
    <w:name w:val="List Paragraph"/>
    <w:basedOn w:val="Normal"/>
    <w:qFormat/>
    <w:pPr>
      <w:spacing w:before="0" w:after="160"/>
      <w:ind w:left="720" w:hanging="0"/>
      <w:contextualSpacing/>
    </w:pPr>
    <w:rPr/>
  </w:style>
  <w:style w:type="paragraph" w:styleId="Zawartotabeli" w:customStyle="1">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c1e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p.dabrowagornicza.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B5DB-FDF7-4B21-8D0A-03DC1CAE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LibreOffice/5.2.4.2$Windows_x86 LibreOffice_project/3d5603e1122f0f102b62521720ab13a38a4e0eb0</Application>
  <Pages>9</Pages>
  <Words>2829</Words>
  <Characters>18531</Characters>
  <CharactersWithSpaces>21522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2022-01-20T09:56:00Z</dcterms:created>
  <dc:creator>Magdalena Mike</dc:creator>
  <dc:description/>
  <dc:language>pl-PL</dc:language>
  <cp:lastModifiedBy/>
  <dcterms:modified xsi:type="dcterms:W3CDTF">2022-01-24T09:10:15Z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