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OGŁOSZENIE  Nr 5</w:t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 KONKURSIE OFERT NA DOTACJE w 2022 r.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agwek2"/>
        <w:spacing w:lineRule="auto" w:line="360" w:before="0" w:after="0"/>
        <w:rPr>
          <w:rFonts w:ascii="Calibri" w:hAnsi="Calibri" w:cs="Calibri" w:asciiTheme="minorHAnsi" w:cstheme="minorHAnsi" w:hAnsiTheme="minorHAnsi"/>
          <w:b w:val="false"/>
          <w:b w:val="false"/>
          <w:i w:val="false"/>
          <w:i w:val="false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>Na podstawie art. 30 ust. 1 ustawy z dnia 8 marca 1990 r. o samorządzie gminnym  (tj. Dz. U. z 20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21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 r. poz. 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1372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 z późn. zm.)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,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 art. 15 ust. 2d ustawy z dnia 24 kwietnia 2003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>r. o działalności pożytku publicznego i o wolontariacie (tj. Dz. U. 20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20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 poz.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 xml:space="preserve"> 1057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 z późn. zm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.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)  oraz w związku z Uchwałą </w:t>
        <w:br/>
        <w:t xml:space="preserve">nr 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XXXIV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>/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666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>/20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21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 Rady Miejskiej w Dąbrowie Górniczej z dnia 2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7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października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 20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21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 r. w sprawie przyjęcia "Programu współpracy Gminy Dąbrowa Górnicza z organizacjami pozarządowymi oraz innymi podmiotami prowadzącymi działalność pożytku publicznego na rok 202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2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" oraz zgodnie </w:t>
        <w:br/>
        <w:t xml:space="preserve">z Zarządzeniem Nr 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2072.2021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 xml:space="preserve">Prezydenta Miasta Dąbrowa Górnicza 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z dnia 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4 listopada 2021 r.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 </w:t>
        <w:br/>
        <w:t>w sprawie: przyjęcia zasad przyznawania i rozliczania dotacji z budżetu gminy Dąbrowa Górnicza na realizację zadań własnych gminy i powiatu w 202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2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 r. w ramach art. 13 ustawy o działalności pożytku publicznego i o wolontariacie (tryb konkursowy).</w:t>
      </w:r>
    </w:p>
    <w:p>
      <w:pPr>
        <w:pStyle w:val="Normal"/>
        <w:spacing w:lineRule="auto" w:line="360"/>
        <w:jc w:val="center"/>
        <w:rPr>
          <w:rFonts w:cs="Calibri" w:cstheme="minorHAnsi"/>
        </w:rPr>
      </w:pPr>
      <w:r>
        <w:rPr>
          <w:rFonts w:cs="Calibri" w:cstheme="minorHAnsi"/>
        </w:rPr>
        <w:br/>
      </w:r>
      <w:r>
        <w:rPr>
          <w:rFonts w:cs="Calibri" w:cstheme="minorHAnsi"/>
          <w:b/>
        </w:rPr>
        <w:t xml:space="preserve">PREZYDENT MIASTA DĄBROWA GÓRNICZA ogłasza  otwarty konkurs ofert na dotacje z budżetu miasta na realizację w 2022 r. proponowanych poniżej zadań własnych gminy z zakresu przedsiębiorczości i rozwoju gospodarczego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>Prezydent Miasta Dąbrowa Górnicza zastrzega sobie prawo dokonania zmian kwot przeznaczonych na realizację poniżej określonych zadań, których ostateczna wysokość zostanie ustalona po zatwierdzeniu przez Radę Miejską w Dąbrowie Górniczej budżetu gminy Dąbrowa Górnicza na 2022 r.</w:t>
      </w:r>
    </w:p>
    <w:p>
      <w:pPr>
        <w:pStyle w:val="Normal"/>
        <w:spacing w:lineRule="auto" w:line="360"/>
        <w:rPr>
          <w:rFonts w:cs="Calibri" w:cstheme="minorHAnsi"/>
          <w:b/>
          <w:b/>
        </w:rPr>
      </w:pPr>
      <w:r>
        <w:rPr>
          <w:rFonts w:cs="Calibri" w:cstheme="minorHAnsi"/>
        </w:rPr>
        <w:t xml:space="preserve">               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1. Celem konkursu jest wyłonienie podmiotu do realizacji zadania publicznego Gminy Dąbrowa Górnicza w roku 2022 z zakresu przedsiębiorczości i rozwoju gospodarczego pod nazwą: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73"/>
        <w:gridCol w:w="5488"/>
      </w:tblGrid>
      <w:tr>
        <w:trPr>
          <w:trHeight w:val="567" w:hRule="atLeast"/>
        </w:trPr>
        <w:tc>
          <w:tcPr>
            <w:tcW w:w="35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Prowadzenie Dąbrowskiego Inkubatora Przedsiębiorczości (DIP) w Dąbrowie Górniczej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357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Kwota przeznaczona na zadanie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Ogółem: 250.000,00 PLN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73" w:hRule="atLeast"/>
        </w:trPr>
        <w:tc>
          <w:tcPr>
            <w:tcW w:w="357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Limit kwot dla jednego projektu: 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035" w:hRule="atLeast"/>
        </w:trPr>
        <w:tc>
          <w:tcPr>
            <w:tcW w:w="35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Cel zadania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Times New Roman" w:cs="Calibri" w:cstheme="minorHAnsi"/>
                <w:lang w:eastAsia="pl-PL"/>
              </w:rPr>
            </w:pPr>
            <w:r>
              <w:rPr>
                <w:rFonts w:cs="Calibri" w:cstheme="minorHAnsi"/>
              </w:rPr>
              <w:t xml:space="preserve">Podstawowym założeniem zadania publicznego będzie świadczenie szerokiej gamy działań zmierzających do rozwoju przedsiębiorczości </w:t>
            </w:r>
            <w:r>
              <w:rPr>
                <w:rFonts w:eastAsia="Times New Roman" w:cs="Calibri" w:cstheme="minorHAnsi"/>
                <w:lang w:eastAsia="pl-PL"/>
              </w:rPr>
              <w:t xml:space="preserve">wśród mieszkańców Dąbrowy Górniczej m.in. poprzez </w:t>
            </w:r>
            <w:r>
              <w:rPr>
                <w:rFonts w:cs="Calibri" w:cstheme="minorHAnsi"/>
              </w:rPr>
              <w:t>świadczenie kompleksowych usług informacyjnych, doradczych i edukacyjnych na rzecz osób planujących podjąć, podejmujących działalność gospodarczą oraz mikro i małych przedsiębiorców w pierwszych 5 latach funkcjonowania ich działalności.</w:t>
            </w:r>
          </w:p>
        </w:tc>
      </w:tr>
      <w:tr>
        <w:trPr/>
        <w:tc>
          <w:tcPr>
            <w:tcW w:w="35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Rezultaty obligatoryjne realizacji zadania i wymagany poziom osiągnięcia rezultatów (wartość docelowa)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Świadczenie usług w siedzibie DIP odbywać się będzie od poniedziałku do piątku 4h/dzień w godzinach (trzy dni w godzinach porannych oraz dwa dni w godzinach popołudniowych). Dopuszcza się szarszy zakres godzinowy funkcjonowania DIP. W przypadku wprowadzenia obostrzeń związanych z pandemią dopuszcza się prowadzenie dyżurów w formie zdalnej (online/telefonicznie).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Times New Roman" w:cs="Calibri" w:cstheme="minorHAnsi"/>
                <w:color w:val="FF0000"/>
                <w:lang w:eastAsia="pl-PL"/>
              </w:rPr>
            </w:pPr>
            <w:r>
              <w:rPr>
                <w:rFonts w:eastAsia="Times New Roman" w:cs="Calibri" w:cstheme="minorHAnsi"/>
                <w:color w:val="FF0000"/>
                <w:lang w:eastAsia="pl-PL"/>
              </w:rPr>
            </w:r>
          </w:p>
        </w:tc>
      </w:tr>
      <w:tr>
        <w:trPr/>
        <w:tc>
          <w:tcPr>
            <w:tcW w:w="35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Sposób monitorowania rezultatów / źródło informacji o osiągnięciu wskaźnika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Oświadczenie realizatora zadania zawierające harmonogram podejmowanych zadań</w:t>
            </w:r>
          </w:p>
        </w:tc>
      </w:tr>
      <w:tr>
        <w:trPr/>
        <w:tc>
          <w:tcPr>
            <w:tcW w:w="35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Okres realizacji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975" w:leader="none"/>
              </w:tabs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1.01.2022 r. - 31.12.2022 r.</w:t>
            </w:r>
          </w:p>
          <w:p>
            <w:pPr>
              <w:pStyle w:val="NormalWeb"/>
              <w:tabs>
                <w:tab w:val="left" w:pos="975" w:leader="none"/>
              </w:tabs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5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Warunki szczegółowe (np. możliwość pobierania opłat od adresatów, wymogi dotyczące lokalizacji przedsięwzięcia czy posiadanej kadry)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DIP w Dąbrowie Górniczej</w:t>
            </w:r>
            <w:r>
              <w:rPr>
                <w:rFonts w:cs="Calibri" w:cstheme="minorHAnsi"/>
                <w:b/>
              </w:rPr>
              <w:t xml:space="preserve"> </w:t>
            </w:r>
            <w:r>
              <w:rPr>
                <w:rFonts w:cs="Calibri" w:cstheme="minorHAnsi"/>
              </w:rPr>
              <w:t xml:space="preserve">powinien być prowadzony </w:t>
              <w:br/>
              <w:t>w lokalu o powierzchni nie mniejszej niż 135 m</w:t>
            </w:r>
            <w:r>
              <w:rPr>
                <w:rFonts w:cs="Calibri" w:cstheme="minorHAnsi"/>
                <w:vertAlign w:val="superscript"/>
              </w:rPr>
              <w:t>2</w:t>
            </w:r>
            <w:r>
              <w:rPr>
                <w:rFonts w:cs="Calibri" w:cstheme="minorHAnsi"/>
              </w:rPr>
              <w:t>, położonym w priorytetowym obszarze rewitalizacji Centrum, wyznaczonym zgodnie z Programem Rewitalizacji.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cs="Calibri" w:cs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Realizacja zadania publicznego ma obejmować miedzy innymi: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zapewnienie min. 1 osoby do zarządzania i koordynowania zadaniami przewidywanymi w ramach prowadzenia DIP </w:t>
              <w:br/>
              <w:t>w wymiarze adekwatnym do godzin funkcjonowania DIP.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prowadzenie bieżącej kampanii promującej DIP przez cały okres realizacji zadania i jego ofertę w mediach skierowaną do przedsiębiorców i osób zainteresowanych podjęciem działalności gospodarczej.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-prowadzenie strony internetowej DIP, kanałów społecznościowych DIP (FB, Linkedin) oraz przygotowywanie i publikowanie informacji związanych z funkcjonowaniem DIP– bieżący serwis informacyjny.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informowanie w mediach lokalnych oraz na stronach miejskich o nadchodzących wydarzeniach gospodarczych</w:t>
              <w:br/>
              <w:t xml:space="preserve"> i podejmowanych przez DIP, Wydział Rozwoju, Przedsiębiorczości i Obsługi Inwestorów oraz lokalne IOB inicjatywach skierowanych dla przedsiębiorców, a także osób zainteresowanych prowadzeniem działalności gospodarczej.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Times New Roman" w:cs="Calibri" w:cstheme="minorHAnsi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- regularne, indywidualne dyżury doradców biznesowych, prawnych, księgowych i marketingowych (180 godzin rocznie, w równomiernym podziale miesięcznym), od których uzyskać będzie </w:t>
            </w: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można informacje jak krok po kroku zrealizować pomysł na własną firmę, jak pozyskać fundusze na start działalności gospodarczej, itp. oraz skorzystać</w:t>
              <w:br/>
              <w:t xml:space="preserve"> z wiedzy fachowców i specjalistów rozwiązując problemy, jakie mogą pojawić się na początku prowadzenia działalności gospodarczej.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Times New Roman" w:cs="Calibri" w:cstheme="minorHAnsi"/>
                <w:highlight w:val="white"/>
                <w:lang w:eastAsia="pl-PL"/>
              </w:rPr>
            </w:pPr>
            <w:r>
              <w:rPr>
                <w:rFonts w:eastAsia="Roboto-Regular" w:cs="Calibri" w:cstheme="minorHAnsi"/>
              </w:rPr>
              <w:t>- indywidualne doradztwa z obszaru pozyskiwania dotacji na start firmy - 36 spotkań.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- bieżące, regularne I</w:t>
            </w:r>
            <w:r>
              <w:rPr>
                <w:rFonts w:eastAsia="Times New Roman" w:cs="Calibri" w:cstheme="minorHAnsi"/>
                <w:lang w:eastAsia="pl-PL"/>
              </w:rPr>
              <w:t>nformowanie o instrumentach wsparcia finansowego oferowanego przez instytucje i organizacje dla przedsiębiorców, doradztwo w zakresie pozyskiwania środków na start i rozwój firmy.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pl-PL"/>
              </w:rPr>
              <w:t>-</w:t>
            </w:r>
            <w:r>
              <w:rPr>
                <w:rFonts w:cs="Calibri" w:cstheme="minorHAnsi"/>
              </w:rPr>
              <w:t xml:space="preserve"> przygotowanie Pakietu powitalnego dla przedsiębiorców, zawierającego przewodnik dla aktywnych w biznesie – porady i wskazówki dla początkujących wraz </w:t>
              <w:br/>
              <w:t>z opracowaniem graficznym i wydrukiem w nakładzie co najmniej 500 sztuk.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- organizację w siedzibie DIP co najmniej 8 wydarzeń gospodarczych, warsztatów, </w:t>
            </w:r>
            <w:r>
              <w:rPr>
                <w:rFonts w:eastAsia="Times New Roman" w:cs="Calibri" w:cstheme="minorHAnsi"/>
                <w:shd w:fill="FFFFFF" w:val="clear"/>
                <w:lang w:eastAsia="pl-PL"/>
              </w:rPr>
              <w:t xml:space="preserve">prelekcji, eventów gospodarczych </w:t>
            </w:r>
            <w:r>
              <w:rPr>
                <w:rFonts w:eastAsia="Times New Roman" w:cs="Calibri" w:cstheme="minorHAnsi"/>
                <w:lang w:eastAsia="pl-PL"/>
              </w:rPr>
              <w:t>promujących rozwój przedsiębiorczości</w:t>
            </w:r>
            <w:r>
              <w:rPr>
                <w:rFonts w:eastAsia="Times New Roman" w:cs="Calibri" w:cstheme="minorHAnsi"/>
                <w:shd w:fill="FFFFFF" w:val="clear"/>
                <w:lang w:eastAsia="pl-PL"/>
              </w:rPr>
              <w:t xml:space="preserve"> o</w:t>
            </w:r>
            <w:r>
              <w:rPr>
                <w:rFonts w:eastAsia="Times New Roman" w:cs="Calibri" w:cstheme="minorHAnsi"/>
                <w:lang w:eastAsia="pl-PL"/>
              </w:rPr>
              <w:t xml:space="preserve"> charakterze otwartym, w którym mogłyby uczestniczyć wszystkie osoby zainteresowane tematyką z zakresu przedsiębiorczości, (np.: szkolenia, w trakcie których uczestnicy poznają zagadnienia niezbędne przy podejmowaniu decyzji o założeniu własnej firmy, tworzeniu biznesplanu, prowadzeniu księgowości, kreowaniu wizerunku firmy, negocjacji i komunikacji w biznesie, aspektów prawnych, podatkowych oraz spotkania z ciekawymi osobami – przedsiębiorcami promującymi działalność gospodarczą). </w:t>
            </w:r>
            <w:r>
              <w:rPr>
                <w:rFonts w:cs="Calibri" w:cstheme="minorHAnsi"/>
              </w:rPr>
              <w:t>Zlecający daje możliwość zmiany formuły organizacji wydarzeń stacjonarnych na online, w sytuacji, w której wystąpi taka konieczność.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- przeprowadzenie w min. 5 szkołach programu promocji przedsiębiorczości. Praktyczny program edukacyjny zarówno dla uczniów jak i nauczycieli. </w:t>
            </w:r>
            <w:r>
              <w:rPr>
                <w:rFonts w:cs="Calibri" w:cstheme="minorHAnsi"/>
              </w:rPr>
              <w:t>W ramach programu zorganizowanie: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a) 12 spotkań dla młodzieży,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Spotkania powinny się odbywać w D</w:t>
            </w:r>
            <w:r>
              <w:rPr>
                <w:rFonts w:eastAsia="ArialMT" w:cs="Calibri" w:cstheme="minorHAnsi"/>
              </w:rPr>
              <w:t>ą</w:t>
            </w:r>
            <w:r>
              <w:rPr>
                <w:rFonts w:cs="Calibri" w:cstheme="minorHAnsi"/>
              </w:rPr>
              <w:t>browskim Inkubatorze Przedsi</w:t>
            </w:r>
            <w:r>
              <w:rPr>
                <w:rFonts w:eastAsia="ArialMT" w:cs="Calibri" w:cstheme="minorHAnsi"/>
              </w:rPr>
              <w:t>ę</w:t>
            </w:r>
            <w:r>
              <w:rPr>
                <w:rFonts w:cs="Calibri" w:cstheme="minorHAnsi"/>
              </w:rPr>
              <w:t>biorczo</w:t>
            </w:r>
            <w:r>
              <w:rPr>
                <w:rFonts w:eastAsia="ArialMT" w:cs="Calibri" w:cstheme="minorHAnsi"/>
              </w:rPr>
              <w:t>ś</w:t>
            </w:r>
            <w:r>
              <w:rPr>
                <w:rFonts w:cs="Calibri" w:cstheme="minorHAnsi"/>
              </w:rPr>
              <w:t>ci z trenerami/doradcami/przedsi</w:t>
            </w:r>
            <w:r>
              <w:rPr>
                <w:rFonts w:eastAsia="ArialMT" w:cs="Calibri" w:cstheme="minorHAnsi"/>
              </w:rPr>
              <w:t>ę</w:t>
            </w:r>
            <w:r>
              <w:rPr>
                <w:rFonts w:cs="Calibri" w:cstheme="minorHAnsi"/>
              </w:rPr>
              <w:t>biorcami podczas których m</w:t>
            </w:r>
            <w:r>
              <w:rPr>
                <w:rFonts w:eastAsia="ArialMT" w:cs="Calibri" w:cstheme="minorHAnsi"/>
              </w:rPr>
              <w:t>ł</w:t>
            </w:r>
            <w:r>
              <w:rPr>
                <w:rFonts w:cs="Calibri" w:cstheme="minorHAnsi"/>
              </w:rPr>
              <w:t>odzie</w:t>
            </w:r>
            <w:r>
              <w:rPr>
                <w:rFonts w:eastAsia="ArialMT" w:cs="Calibri" w:cstheme="minorHAnsi"/>
              </w:rPr>
              <w:t xml:space="preserve">ż </w:t>
            </w:r>
            <w:r>
              <w:rPr>
                <w:rFonts w:cs="Calibri" w:cstheme="minorHAnsi"/>
              </w:rPr>
              <w:t>m.in: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zweryfikuje swoje za</w:t>
            </w:r>
            <w:r>
              <w:rPr>
                <w:rFonts w:eastAsia="ArialMT" w:cs="Calibri" w:cstheme="minorHAnsi"/>
              </w:rPr>
              <w:t>ł</w:t>
            </w:r>
            <w:r>
              <w:rPr>
                <w:rFonts w:cs="Calibri" w:cstheme="minorHAnsi"/>
              </w:rPr>
              <w:t>o</w:t>
            </w:r>
            <w:r>
              <w:rPr>
                <w:rFonts w:eastAsia="ArialMT" w:cs="Calibri" w:cstheme="minorHAnsi"/>
              </w:rPr>
              <w:t>ż</w:t>
            </w:r>
            <w:r>
              <w:rPr>
                <w:rFonts w:cs="Calibri" w:cstheme="minorHAnsi"/>
              </w:rPr>
              <w:t>enia zwi</w:t>
            </w:r>
            <w:r>
              <w:rPr>
                <w:rFonts w:eastAsia="ArialMT" w:cs="Calibri" w:cstheme="minorHAnsi"/>
              </w:rPr>
              <w:t>ą</w:t>
            </w:r>
            <w:r>
              <w:rPr>
                <w:rFonts w:cs="Calibri" w:cstheme="minorHAnsi"/>
              </w:rPr>
              <w:t>zane z dalsz</w:t>
            </w:r>
            <w:r>
              <w:rPr>
                <w:rFonts w:eastAsia="ArialMT" w:cs="Calibri" w:cstheme="minorHAnsi"/>
              </w:rPr>
              <w:t xml:space="preserve">ą </w:t>
            </w:r>
            <w:r>
              <w:rPr>
                <w:rFonts w:cs="Calibri" w:cstheme="minorHAnsi"/>
              </w:rPr>
              <w:t>karier</w:t>
            </w:r>
            <w:r>
              <w:rPr>
                <w:rFonts w:eastAsia="ArialMT" w:cs="Calibri" w:cstheme="minorHAnsi"/>
              </w:rPr>
              <w:t xml:space="preserve">ą </w:t>
            </w:r>
            <w:r>
              <w:rPr>
                <w:rFonts w:cs="Calibri" w:cstheme="minorHAnsi"/>
              </w:rPr>
              <w:t>zawodow</w:t>
            </w:r>
            <w:r>
              <w:rPr>
                <w:rFonts w:eastAsia="ArialMT" w:cs="Calibri" w:cstheme="minorHAnsi"/>
              </w:rPr>
              <w:t>ą</w:t>
            </w:r>
            <w:r>
              <w:rPr>
                <w:rFonts w:cs="Calibri" w:cstheme="minorHAnsi"/>
              </w:rPr>
              <w:t>/biznesow</w:t>
            </w:r>
            <w:r>
              <w:rPr>
                <w:rFonts w:eastAsia="ArialMT" w:cs="Calibri" w:cstheme="minorHAnsi"/>
              </w:rPr>
              <w:t>ą,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dowie si</w:t>
            </w:r>
            <w:r>
              <w:rPr>
                <w:rFonts w:eastAsia="ArialMT" w:cs="Calibri" w:cstheme="minorHAnsi"/>
              </w:rPr>
              <w:t xml:space="preserve">ę </w:t>
            </w:r>
            <w:r>
              <w:rPr>
                <w:rFonts w:cs="Calibri" w:cstheme="minorHAnsi"/>
              </w:rPr>
              <w:t>w jaki sposób mo</w:t>
            </w:r>
            <w:r>
              <w:rPr>
                <w:rFonts w:eastAsia="ArialMT" w:cs="Calibri" w:cstheme="minorHAnsi"/>
              </w:rPr>
              <w:t>ż</w:t>
            </w:r>
            <w:r>
              <w:rPr>
                <w:rFonts w:cs="Calibri" w:cstheme="minorHAnsi"/>
              </w:rPr>
              <w:t>na przetestowa</w:t>
            </w:r>
            <w:r>
              <w:rPr>
                <w:rFonts w:eastAsia="ArialMT" w:cs="Calibri" w:cstheme="minorHAnsi"/>
              </w:rPr>
              <w:t xml:space="preserve">ć </w:t>
            </w:r>
            <w:r>
              <w:rPr>
                <w:rFonts w:cs="Calibri" w:cstheme="minorHAnsi"/>
              </w:rPr>
              <w:t>swój pomys</w:t>
            </w:r>
            <w:r>
              <w:rPr>
                <w:rFonts w:eastAsia="ArialMT" w:cs="Calibri" w:cstheme="minorHAnsi"/>
              </w:rPr>
              <w:t xml:space="preserve">ł </w:t>
            </w:r>
            <w:r>
              <w:rPr>
                <w:rFonts w:cs="Calibri" w:cstheme="minorHAnsi"/>
              </w:rPr>
              <w:t>na biznes,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nauczy si</w:t>
            </w:r>
            <w:r>
              <w:rPr>
                <w:rFonts w:eastAsia="ArialMT" w:cs="Calibri" w:cstheme="minorHAnsi"/>
              </w:rPr>
              <w:t xml:space="preserve">ę </w:t>
            </w:r>
            <w:r>
              <w:rPr>
                <w:rFonts w:cs="Calibri" w:cstheme="minorHAnsi"/>
              </w:rPr>
              <w:t>promowa</w:t>
            </w:r>
            <w:r>
              <w:rPr>
                <w:rFonts w:eastAsia="ArialMT" w:cs="Calibri" w:cstheme="minorHAnsi"/>
              </w:rPr>
              <w:t>ć</w:t>
            </w:r>
            <w:r>
              <w:rPr>
                <w:rFonts w:cs="Calibri" w:cstheme="minorHAnsi"/>
              </w:rPr>
              <w:t>, komunikowa</w:t>
            </w:r>
            <w:r>
              <w:rPr>
                <w:rFonts w:eastAsia="ArialMT" w:cs="Calibri" w:cstheme="minorHAnsi"/>
              </w:rPr>
              <w:t>ć</w:t>
            </w:r>
            <w:r>
              <w:rPr>
                <w:rFonts w:cs="Calibri" w:cstheme="minorHAnsi"/>
              </w:rPr>
              <w:t>, “mówi</w:t>
            </w:r>
            <w:r>
              <w:rPr>
                <w:rFonts w:eastAsia="ArialMT" w:cs="Calibri" w:cstheme="minorHAnsi"/>
              </w:rPr>
              <w:t xml:space="preserve">ć </w:t>
            </w:r>
            <w:r>
              <w:rPr>
                <w:rFonts w:cs="Calibri" w:cstheme="minorHAnsi"/>
              </w:rPr>
              <w:t>g</w:t>
            </w:r>
            <w:r>
              <w:rPr>
                <w:rFonts w:eastAsia="ArialMT" w:cs="Calibri" w:cstheme="minorHAnsi"/>
              </w:rPr>
              <w:t>ł</w:t>
            </w:r>
            <w:r>
              <w:rPr>
                <w:rFonts w:cs="Calibri" w:cstheme="minorHAnsi"/>
              </w:rPr>
              <w:t>o</w:t>
            </w:r>
            <w:r>
              <w:rPr>
                <w:rFonts w:eastAsia="ArialMT" w:cs="Calibri" w:cstheme="minorHAnsi"/>
              </w:rPr>
              <w:t>ś</w:t>
            </w:r>
            <w:r>
              <w:rPr>
                <w:rFonts w:cs="Calibri" w:cstheme="minorHAnsi"/>
              </w:rPr>
              <w:t xml:space="preserve">no” </w:t>
              <w:br/>
              <w:t>o swoich pomys</w:t>
            </w:r>
            <w:r>
              <w:rPr>
                <w:rFonts w:eastAsia="ArialMT" w:cs="Calibri" w:cstheme="minorHAnsi"/>
              </w:rPr>
              <w:t>ł</w:t>
            </w:r>
            <w:r>
              <w:rPr>
                <w:rFonts w:cs="Calibri" w:cstheme="minorHAnsi"/>
              </w:rPr>
              <w:t>ach biznesowych/projektach spo</w:t>
            </w:r>
            <w:r>
              <w:rPr>
                <w:rFonts w:eastAsia="ArialMT" w:cs="Calibri" w:cstheme="minorHAnsi"/>
              </w:rPr>
              <w:t>ł</w:t>
            </w:r>
            <w:r>
              <w:rPr>
                <w:rFonts w:cs="Calibri" w:cstheme="minorHAnsi"/>
              </w:rPr>
              <w:t xml:space="preserve">ecznych,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zdob</w:t>
            </w:r>
            <w:r>
              <w:rPr>
                <w:rFonts w:eastAsia="ArialMT" w:cs="Calibri" w:cstheme="minorHAnsi"/>
              </w:rPr>
              <w:t>ę</w:t>
            </w:r>
            <w:r>
              <w:rPr>
                <w:rFonts w:cs="Calibri" w:cstheme="minorHAnsi"/>
              </w:rPr>
              <w:t>dzie wa</w:t>
            </w:r>
            <w:r>
              <w:rPr>
                <w:rFonts w:eastAsia="ArialMT" w:cs="Calibri" w:cstheme="minorHAnsi"/>
              </w:rPr>
              <w:t>ż</w:t>
            </w:r>
            <w:r>
              <w:rPr>
                <w:rFonts w:cs="Calibri" w:cstheme="minorHAnsi"/>
              </w:rPr>
              <w:t>ne kompetencje w obszarze radzenia sobie w sytuacjach stresowych.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b) 3 szkolenia/warsztaty dla nauczycieli „Podstaw przedsiębiorczości”,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c) 4 indywidualne spotkania z mentorem dla 8 nauczycieli.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Zlecający daje możliwość zmiany formuły organizacji wydarzeń stacjonarnych na online, w sytuacji, w której wystąpi taka konieczność.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organizację i przygotowanie co najmniej czterech spotkań typu „Biznes Chillout” dla osób zamierzających rozpocząć działalność gospodarczą oraz młodych przedsiębiorców, </w:t>
            </w:r>
            <w:r>
              <w:rPr>
                <w:rFonts w:eastAsia="Times New Roman" w:cs="Calibri" w:cstheme="minorHAnsi"/>
              </w:rPr>
              <w:t xml:space="preserve">którzy potrzebują zdobyć lub poszerzyć swój zakres wiedzy i umiejętności, aby jak najlepiej wykorzystać możliwości jakie stwarza obecny rynek i sytuacja gospodarcza oraz </w:t>
            </w:r>
            <w:r>
              <w:rPr>
                <w:rFonts w:cs="Calibri" w:cstheme="minorHAnsi"/>
              </w:rPr>
              <w:t xml:space="preserve">zdobyć wiedzę na temat aktualnych trendów w biznesie,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Zlecający daje możliwość zmiany formuły organizacji wydarzeń stacjonarnych na online, w sytuacji, w której wystąpi taka konieczność.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Cel spotkań: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a) promocja i rozwój Dąbrowskiego Inkubatora Przedsiębiorczości oraz inkubowanie nowych firm na terenie Dąbrowy Górniczej;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b) promocję działalności gospodarczej jako formy rozwoju zawodowego;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c) promocja młodych firm i ułatwienie im funkcjonowania na rynku;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informowanie o projektach, programach  i udogodnieniach proponowanych dla młodych firm przez rząd oraz samorząd lokalny.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wypracowanie wspólnie ze Zlecającym oraz IOB narzędzi wspomagających rozwój przedsiębiorczości w mieście a także umożliwiających działanie firm np. w warunkach kryzysu spowodowanych pandemią.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- wsparcie rozwoju przedsiębiorczości w mieście poprzez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realizację programów i zadań we </w:t>
            </w:r>
            <w:r>
              <w:rPr>
                <w:rFonts w:cs="Calibri" w:cstheme="minorHAnsi"/>
              </w:rPr>
              <w:t xml:space="preserve">współpracy z Wydziałem Rozwoju, Przedsiębiorczości i Obsługi Inwestorów, w tym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bCs/>
              </w:rPr>
            </w:pPr>
            <w:r>
              <w:rPr>
                <w:rFonts w:eastAsia="Times New Roman" w:cs="Calibri" w:cstheme="minorHAnsi"/>
              </w:rPr>
              <w:t xml:space="preserve">a) </w:t>
            </w:r>
            <w:r>
              <w:rPr>
                <w:rFonts w:eastAsia="Times New Roman" w:cs="Calibri" w:cstheme="minorHAnsi"/>
                <w:bCs/>
              </w:rPr>
              <w:t>konkurs na najlepszy model biznesowy, zachęcający do otwierania działalności gospodarczej w Dąbrowie Górniczej, adresowany do osób planujących założyć własną firmę, w ramach zadania: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bCs/>
              </w:rPr>
            </w:pPr>
            <w:r>
              <w:rPr>
                <w:rFonts w:eastAsia="Times New Roman" w:cs="Calibri" w:cstheme="minorHAnsi"/>
                <w:bCs/>
              </w:rPr>
              <w:t>•</w:t>
            </w:r>
            <w:r>
              <w:rPr>
                <w:rFonts w:eastAsia="Times New Roman" w:cs="Calibri" w:cstheme="minorHAnsi"/>
                <w:bCs/>
              </w:rPr>
              <w:tab/>
              <w:t>realizacja zadań związanych z promocją konkursu oraz przyjmowanie formularzy zgłoszeniowych; pozyskanie sponsorów, partnerów fundujących nagrody; przeprowadzenie z finalistami warsztatów przygotowujących do prezentacji, w tym: z pitchowania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bCs/>
              </w:rPr>
            </w:pPr>
            <w:r>
              <w:rPr>
                <w:rFonts w:eastAsia="Times New Roman" w:cs="Calibri" w:cstheme="minorHAnsi"/>
                <w:bCs/>
              </w:rPr>
              <w:t>•</w:t>
            </w:r>
            <w:r>
              <w:rPr>
                <w:rFonts w:eastAsia="Times New Roman" w:cs="Calibri" w:cstheme="minorHAnsi"/>
                <w:bCs/>
              </w:rPr>
              <w:tab/>
              <w:t>organizacja Gali Finałowej (zapewnienie prelegenta, który wystąpi podczas obrad Jury; zapewnienie streamingu oraz cateringu dla Jury i osób zaproszonych, współpraca przy rozstrzygnięciu Konkursu, w tym udział w Jury, opracowywanie niezbędnych dokumentów)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bCs/>
              </w:rPr>
            </w:pPr>
            <w:r>
              <w:rPr>
                <w:rFonts w:eastAsia="Times New Roman" w:cs="Calibri" w:cstheme="minorHAnsi"/>
                <w:bCs/>
              </w:rPr>
              <w:t>•</w:t>
            </w:r>
            <w:r>
              <w:rPr>
                <w:rFonts w:eastAsia="Times New Roman" w:cs="Calibri" w:cstheme="minorHAnsi"/>
                <w:bCs/>
              </w:rPr>
              <w:tab/>
              <w:t>promocja konkursu w mediach społecznościowych,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bCs/>
              </w:rPr>
            </w:pPr>
            <w:r>
              <w:rPr>
                <w:rFonts w:eastAsia="Times New Roman" w:cs="Calibri" w:cstheme="minorHAnsi"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bCs/>
              </w:rPr>
              <w:t>b) program „</w:t>
            </w:r>
            <w:r>
              <w:rPr>
                <w:rFonts w:cs="Calibri" w:cstheme="minorHAnsi"/>
              </w:rPr>
              <w:t xml:space="preserve">Lokal na Start”, pełniący funkcję wsparcia firm </w:t>
              <w:br/>
              <w:t>w początkowym okresie ich działania, którego celem będzie obniżenie kosztów, jakie ponosi młody przedsiębiorca w związku z najmem pomieszczenia, w którym prowadzi swój biznes, w tym: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wykonanie zdjęć lokali na rok 2022 (w tym zdjęcia 360) ,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promocja wydarzenia dostępnymi kanałami,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wywiady z uczestnikami poprzednich edycji mające na celu promocję konkursu,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sprawdzenie wniosków pod względem formalnym i merytorycznym,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ustalenie 4 terminów oglądania lokali (w tym dwóch w godzinach porannych), prezentacja lokali uczestnikom,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zaproszenie 5 osobowego jury do konkursu oraz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zorganizowanie posiedzenia jury.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color w:val="FF0000"/>
              </w:rPr>
            </w:pPr>
            <w:r>
              <w:rPr>
                <w:rFonts w:cs="Calibri" w:cstheme="minorHAnsi"/>
              </w:rPr>
              <w:br/>
              <w:t>c) Karta Młodego Przedsiębiorcy,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(pozyskanie minimum 10 Partnerów Programu), wydruk certyfikatów dla Partnerów,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d) Dzień Przedsiębiorczości,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e) organizacja wydarzeń w ramach Światowego Tygodnia Przedsiębiorczości.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współpraca z instytucjami i organizacjami obsługującymi przedsiębiorców i świadczących na ich rzecz usługi, przy realizowanych projektach wspierających przedsiębiorczość: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-wspieranie młodych przedsiębiorców na rynku poprzez umożliwienie sprawdzenia innych firm w KRD lub innym równoważnym programie.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 razie wystąpienia konieczności - wystawianie zaświadczeń dotyczących udzielonej pomocy publicznej dla przedsiębiorcy oraz: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przekazywanie sprawozdań o udzielonej pomocy,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- sprawdzanie czy pomoc publiczna może być udzielona,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- weryfikację niezbędnych formularzy, 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- wystawianie i korekta zaświadczeń o pomocy,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- przekazywanie sprawozdań.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Przy realizacji zadania Zleceniobiorca zobowiązuje się do przestrzegania przepisów ustawy z dnia </w:t>
            </w:r>
            <w:r>
              <w:rPr>
                <w:rStyle w:val="Object"/>
                <w:rFonts w:cs="Calibri" w:cstheme="minorHAnsi"/>
              </w:rPr>
              <w:t>19 lipca 2019</w:t>
            </w:r>
            <w:r>
              <w:rPr>
                <w:rFonts w:cs="Calibri" w:cstheme="minorHAnsi"/>
              </w:rPr>
              <w:t xml:space="preserve"> r. o zapewnieniu dostępności osobom ze szczególnymi potrzebami.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2. Zlecenie realizacji w/w zadania publicznego  będzie miało formę wspierania tego zadania wraz </w:t>
        <w:br/>
        <w:t xml:space="preserve">z udzieleniem dotacji na dofinansowanie realizacji.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3. Przyznanie dotacji ma miejsce tylko w przypadku wniesienia przez Dotowanego nie mniej niż 5% wkładu własnego finansowego lub niefinansowego wkładu własnego (osobowego bądź rzeczowego).  </w:t>
      </w:r>
    </w:p>
    <w:p>
      <w:pPr>
        <w:pStyle w:val="Normal"/>
        <w:spacing w:lineRule="auto" w:line="360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BodyText2"/>
        <w:widowControl/>
        <w:tabs>
          <w:tab w:val="left" w:pos="180" w:leader="none"/>
        </w:tabs>
        <w:suppressAutoHyphens w:val="false"/>
        <w:spacing w:lineRule="auto" w:line="360" w:before="0" w:after="0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4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Zleceniobiorca jest zobowiązany zachować procentowy udział dotacji w całkowitym koszcie zadania publicznego. Obowiązek ten uważa się za zachowany jeżeli procentowy udział dotacji w całkowitym koszcie zadania publicznego nie zwiększy się o więcej niż 5 punktów procentowych. Co więcej, dopuszczalne jest dokonywanie przesunięć w zakresie ponoszonych wydatków: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jeżeli dany wydatek finansowany z dotacji wykazany w sprawozdaniu z realizacji zadania publicznego nie jest równy odpowiedniemu kosztowi określonemu w umowie, to uznaje się go za zgodny z umową wtedy, gdy nie nastąpiło zwiększenie tego wydatku o więcej niż 10% otrzymanej dotacji. Naruszenie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w/w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postanowienia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 w zakresie przesunięcia w zakresie ponoszonych wydatków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uważa się za pobranie części dotacji w nadmiernej wysokości.</w:t>
      </w:r>
    </w:p>
    <w:p>
      <w:pPr>
        <w:pStyle w:val="Normal"/>
        <w:spacing w:lineRule="auto" w:line="360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>5. Szczegółowe zasady przyznawania i rozliczania dotacji z budżetu Gminy Dąbrowa Górnicza                     na realizację zadań własnych gminy i powiatu w 2022 roku określone zostały w Zarządzeniu                   2072.2021 Prezydenta Miasta Dąbrowa Górnicza z dnia 04.11.2021 r. Ze szczegółowymi warunkami konkursu można zapoznać się w Wydziale Organizacji Pozarządowych i Aktywności Obywatelskiej Urzędu Miejskiego w Dąbrowie Górniczej - Centrum Aktywności Obywatelskiej w Dąbrowie Górniczej ul. Sienkiewicza 6a (pok. 9) oraz na stronach ngo.dabrowa-gornicza.pl i www.bip.dabrowa-gornicza.pl..</w:t>
      </w:r>
    </w:p>
    <w:p>
      <w:pPr>
        <w:pStyle w:val="Normal"/>
        <w:spacing w:lineRule="auto" w:line="360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6. Podmiotami mogącymi ubiegać się o dotacje są: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a) organizacje pozarządowe, czyli niebędące jednostkami sektora finansów publicznych, w rozumieniu ustawy o finansach publicznych, niedziałające w celu osiągnięcia zysku – osoby prawne lub jednostki organizacyjne nieposiadające osobowości prawnej, którym odrębna ustawa przyznaje zdolność prawną, w tym fundacje i stowarzyszenia, z wyłączeniem: partii politycznych, związków zawodowych i organizacji pracodawców, samorządów zawodowych, fundacji utworzonych przez partie polityczne;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b) osoby prawne i jednostki organizacyjne działające na podstawie przepisów o stosunku Państwa  do Kościoła Katolickiego w Rzeczypospolitej Polskiej, o stosunku Państwa do innych kościołów                                              i związków wyznaniowych oraz o gwarancjach wolności sumienia i wyznania, jeżeli ich cele statutowe obejmują prowadzenie działalności pożytku publicznego;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c) stowarzyszenia jednostek samorządu terytorialnego;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d) spółdzielnie socjalne;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e) spółki akcyjne i spółki z ograniczoną odpowiedzialnością oraz kluby sportowe będące spółkami działającymi na podstawie przepisów ustawy z dnia 25 czerwca 2010 r. o sporcie (tekst jednolity Dz. U. z 2020 r. poz. 1133), które nie działają w celu osiągnięcia zysku oraz przeznaczają całość dochodu na realizację celów statutowych oraz nie przeznaczają zysku do podziału między swoich udziałowców, akcjonariuszy i pracowników. 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7. Oferta konkursowa powinna być złożona kompletna i sporządzona zgodnie ze wzorem stanowiącym załącznik nr 1 do Zasad stanowiących załącznik do Zarządzenia Nr 2072.2021 Prezydenta Miasta Dąbrowa Górnicza z dnia 04.11.2021 r. w sprawie: przyjęcia zasad przyznawania i rozliczania dotacji z budżetu gminy Dąbrowa Górnicza na realizację zadań własnych gminy i powiatu w 2021 r. w ramach art. 13 ustawy o działalności pożytku publicznego i o wolontariacie (tryb konkursowy) powinna być złożona i sporządzona wyłącznie w formie elektronicznej za pośrednictwem generatora dostępnego na stronie internetowej witkac.pl. </w:t>
      </w:r>
    </w:p>
    <w:p>
      <w:pPr>
        <w:pStyle w:val="Normal"/>
        <w:spacing w:lineRule="auto" w:line="360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>8. Konieczne jest przesłanie skanu z potwierdzeniem złożenia oferty wygenerowanego z systemu witkac.pl zawierającym sumę kontrolną na adres:cao@dg.pl w terminie podanym w pkt 13 ogłoszenia tj. 21 grudnia godzina 16.00. Potwierdzenie powinno być podpisane przez osoby upoważnione do reprezentacji podmiotu zgodnie z zapisami KRS. Brak przesłania skanu skutkował będzie odrzuceniem oferty. Ze względu na sytuację epidemiologiczną związaną z rozprzestrzenieniem się wirusa COVID-19 oryginał oferty należało będzie przedstawić na etapie podpisywania umowy.</w:t>
      </w:r>
    </w:p>
    <w:p>
      <w:pPr>
        <w:pStyle w:val="Normal"/>
        <w:spacing w:lineRule="auto" w:line="360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9. Ramowy wzór wniosku oferty realizacji zadania publicznego jest dostępny bezpośrednio  </w:t>
        <w:br/>
        <w:t>w Wydziale Organizacji Pozarządowych i Aktywności Obywatelskiej Urzędu Miejskiego w Dąbrowie Górniczej - Centrum Aktywności Obywatelskiej w Dąbrowie Górniczej ul. Sienkiewicza 6a (pok. 9) lub w wersji elektronicznej na stronach: ngo.dabrowa-gornicza.pl, www.bip.dabrowa-gornicza.pl.</w:t>
      </w:r>
    </w:p>
    <w:p>
      <w:pPr>
        <w:pStyle w:val="Normal"/>
        <w:spacing w:lineRule="auto" w:line="360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10. Do oferty konkursowej należy dołączyć: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a) aktualny odpis z rejestru właściwego rejestru dla podmiotów, które nie podlegają obowiązkowi wpisu do KRS (dotyczy podmiotów, które nie figurują w rejestrach prowadzonych przez Urząd Miejski w Dąbrowie Górniczej).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b) w przypadku organizacji zadania na obiektach nie będących własnością podmiotu dokumenty potwierdzające możliwość przeprowadzenia przedsięwzięcia we wskazanym miejscu, czyli: list intencyjny, umowę partnerską, oświadczenie właściciela obiektu/posesji.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c) w przypadku wskazania partnera biorącego udział w realizacji zadania: umowę partnerską, list intencyjny lub oświadczenie partnera określające jego wkład finansowy lub niefinansowy w zadanie.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d) w przypadku oferty wspólnej: umowę zawartą miedzy podmiotami, określającą zakres ich świadczeń składających się na realizację zadania publicznego, sposób reprezentacji podmiotów wobec Urzędu Miejskiego w Dąbrowie Górniczej.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e) w przypadku złożenia oferty przez spółdzielnię socjalną – statut.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f) w przypadku złożenia oferty przez spółkę akcyjną i spółkę z ograniczoną odpowiedzialnością lub kluby sportowe będące spółkami działającymi na podstawie przepisów ustawy z dnia 25 czerwca 2010 r. o sporcie – dokument potwierdzający działanie w formule non profit bądź not for profit.  </w:t>
      </w:r>
    </w:p>
    <w:p>
      <w:pPr>
        <w:pStyle w:val="Normal"/>
        <w:spacing w:lineRule="auto" w:line="360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11. Oferta musi zostać podpisana przez osoby upoważnione zgodnie ze statutem i KRS (bądź innym właściwym rejestrem). Za prawidłowe uznane zostaną: podpisy z pieczęcią imienną, wskazującą funkcję w organie reprezentującym, a w przypadku braku pieczątki odręczny czytelny podpisy ze wskazaniem funkcji w organie reprezentującym lub wydruk imienia i nazwiska ze wskazaniem funkcji w organie reprezentującym opatrzony podpisem. Nie wystarczy parafowanie dokumentu. 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12. Wszelkie dokumenty powinny być złożone w postaci oryginału lub kserokopii potwierdzonej za zgodność z oryginałem i podpisane przez uprawnione osoby zgodnie ze statutem i KRS (innym rejestrem). 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13. Ofertę konkursową na realizację wyżej wymienionego zadania należy złożyć w nieprzekraczalnym terminie do: 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cs="Calibri" w:cstheme="minorHAnsi"/>
                <w:b/>
              </w:rPr>
              <w:t xml:space="preserve">21 grudnia 2021 r. godzina 16:00 </w:t>
            </w:r>
          </w:p>
        </w:tc>
      </w:tr>
    </w:tbl>
    <w:p>
      <w:pPr>
        <w:pStyle w:val="Normal"/>
        <w:spacing w:lineRule="auto" w:line="360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14. Dopuszcza się złożenie przez jednego oferenta kilku ofert w konkursie  (nie więcej niż jedną ofertę na każde zadanie). Oferent, który  składa kilka ofert w konkursie powinien złożyć każdą z ofert osobno (z wykorzystaniem generatora ofert). </w:t>
      </w:r>
    </w:p>
    <w:p>
      <w:pPr>
        <w:pStyle w:val="Normal"/>
        <w:spacing w:lineRule="auto" w:line="360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>15. Do przeprowadzenia konkursu oraz rozpatrzenia ofert na dotacje z budżetu gminy Dąbrowa Górnicza na 2022 r. powołana została komisja konkursowa. Przebieg prac komisji oraz sposób jej powołania określa Zarządzenie Nr 2072.2021 Prezydenta Miasta Dąbrowa Górnicza z dnia 04.11.2021 r.  w sprawie: przyjęcia zasad przyznawania i rozliczania dotacji z budżetu gminy Dąbrowa Górnicza na realizację zadań własnych gminy i powiatu w 2022 r. w ramach art. 13 ustawy o działalności pożytku publicznego i o wolontariacie (tryb konkursowy).</w:t>
      </w:r>
    </w:p>
    <w:p>
      <w:pPr>
        <w:pStyle w:val="Normal"/>
        <w:spacing w:lineRule="auto" w:line="360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  <w:t xml:space="preserve"> 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16. Przy rozpatrywaniu ofert komisja oceni złożone oferty pod względem formalnym oraz merytorycznym zgodnie z procedurą określoną w Zarządzeniu Nr 2072.2021 Prezydenta Miasta Dąbrowa Górnicza z dnia 04.11.2021 r. w sprawie: przyjęcia zasad przyznawania i rozliczania dotacji </w:t>
        <w:br/>
        <w:t>z budżetu gminy Dąbrowa Górnicza na realizację zadań własnych gminy i powiatu w 2022 r. w ramach art. 13 ustawy o działalności pożytku publicznego i o wolontariacie (tryb konkursowy).</w:t>
      </w:r>
    </w:p>
    <w:p>
      <w:pPr>
        <w:pStyle w:val="Normal"/>
        <w:spacing w:lineRule="auto" w:line="360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17. Wnioski będą analizowane i oceniane przez komisję konkursową pod względem formalnym oraz merytorycznym na podstawie Karty oceny wniosku w konkursie na realizację zadań własnych gminy       w 2022 r., stanowiącej załącznik nr 3 do Zasad stanowiących załącznik do Zarządzenia Nr 2072.2021 Prezydenta Miasta Dąbrowa Górnicza z dnia 04.11.2021 r. w sprawie: przyjęcia zasad przyznawania </w:t>
        <w:br/>
        <w:t>i rozliczania dotacji z budżetu gminy Dąbrowa Górnicza na realizację zadań własnych gminy i powiatu w 2022 r. w ramach art. 13 ustawy o działalności pożytku publicznego i o wolontariacie (tryb konkursowy).</w:t>
      </w:r>
    </w:p>
    <w:p>
      <w:pPr>
        <w:pStyle w:val="Normal"/>
        <w:spacing w:lineRule="auto" w:line="360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18. Dotacja może być przyznana tylko w przypadku spełnienia przez ofertę kryteriów formalnych                       i uzyskaniu przez wniosek w ocenie merytorycznej 60% punktów. 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19. Za najkorzystniejsze uznaje się oferty, które otrzymały kolejno największą liczbę punktów w danym zadaniu.  </w:t>
      </w:r>
    </w:p>
    <w:p>
      <w:pPr>
        <w:pStyle w:val="Normal"/>
        <w:spacing w:lineRule="auto" w:line="360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20. Na podstawie rankingu najlepiej ocenionych wniosków w danym zadaniu sporządza się listę Dotowanych z wysokością środków przyznanych na realizację zadania Gminy/Powiatu. Listę tę sporządza się do wyczerpania środków wskazanych w ogłoszeniu o konkursie. 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21. Dotacja nie może zostać przyznana na kwotę mniejszą niż 50% wnioskowanej przez podmiot kwoty. 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>22. Oferty na realizację zadania będą rozpatrzone w  terminie do: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cs="Calibri" w:cstheme="minorHAnsi"/>
                <w:b/>
              </w:rPr>
              <w:t xml:space="preserve">10 stycznia 2022 r. </w:t>
            </w:r>
          </w:p>
        </w:tc>
      </w:tr>
    </w:tbl>
    <w:p>
      <w:pPr>
        <w:pStyle w:val="Normal"/>
        <w:spacing w:lineRule="auto" w:line="360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rPr/>
      </w:pPr>
      <w:r>
        <w:rPr>
          <w:rFonts w:cs="Calibri" w:cstheme="minorHAnsi"/>
        </w:rPr>
        <w:t xml:space="preserve">23. Zatwierdzone przez Prezydenta Miasta wyniki konkursu bez zbędnej zwłoki ogłasza się poprzez wywieszenie na tablicy ogłoszeń Urzędu Miejskiego w Dąbrowie Górniczej, na Portalu Organizacji Pozarządowych ngo.dabrowa-gornicza.pl i na stronie </w:t>
      </w:r>
      <w:hyperlink r:id="rId2">
        <w:r>
          <w:rPr>
            <w:rStyle w:val="Czeinternetowe"/>
            <w:rFonts w:cs="Calibri" w:cstheme="minorHAnsi"/>
            <w:color w:val="00000A"/>
          </w:rPr>
          <w:t>www.bip.dabrowagornicza.pl</w:t>
        </w:r>
      </w:hyperlink>
      <w:r>
        <w:rPr>
          <w:rFonts w:cs="Calibri" w:cstheme="minorHAnsi"/>
        </w:rPr>
        <w:t>.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 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24. Złożenie oferty nie jest jednoznaczne z przyznaniem dofinansowania.  </w:t>
      </w:r>
    </w:p>
    <w:p>
      <w:pPr>
        <w:pStyle w:val="Normal"/>
        <w:spacing w:lineRule="auto" w:line="360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25. W przypadku przyznania dotacji mniejszej niż wnioskowana, Dotowany dokonuje korekty oferty                    w </w:t>
      </w:r>
      <w:r>
        <w:rPr>
          <w:rFonts w:eastAsia="Times New Roman" w:cs="Calibri" w:cstheme="minorHAnsi"/>
          <w:lang w:eastAsia="pl-PL"/>
        </w:rPr>
        <w:t xml:space="preserve">zaktualizowanej kalkulacji przewidywanych kosztów realizacji zadania </w:t>
      </w:r>
      <w:r>
        <w:rPr>
          <w:rFonts w:cs="Calibri" w:cstheme="minorHAnsi"/>
        </w:rPr>
        <w:t xml:space="preserve">stanowiącym załącznik                    nr 1 Zasad stanowiących załącznik do Zarządzenia Nr 2072.2021 Prezydenta Miasta Dąbrowa Górnicza z dnia 04.11.2021 r. w sprawie: przyjęcia zasad przyznawania i rozliczania dotacji z budżetu gminy Dąbrowa Górnicza na realizację zadań własnych gminy i powiatu w 2022 r. w ramach art. </w:t>
        <w:br/>
        <w:t>13 ustawy o działalności pożytku publicznego i o wolontariacie (tryb konkursowy), polegającej na dostosowaniu zakresu merytorycznego i finansowego zadania do realnie przyznanej dotacji.</w:t>
      </w:r>
    </w:p>
    <w:p>
      <w:pPr>
        <w:pStyle w:val="Normal"/>
        <w:spacing w:lineRule="auto" w:line="360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  <w:t xml:space="preserve">                   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>26. Zlecenie realizacji zadania odbędzie się na podstawie zawartej umowy na realizację tego zadania.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 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27. Przekazane środki publiczne należy wykorzystać zgodnie z celem, na jaki zostały przeznaczone,  a w szczególności z postanowieniami umowy pod rygorem zwrotu dotacji. 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28. Dysponentowi środków publicznych należy przedstawić częściowe lub końcowe sprawozdanie                 z wykonywania zadania.  </w:t>
      </w:r>
    </w:p>
    <w:p>
      <w:pPr>
        <w:pStyle w:val="Normal"/>
        <w:spacing w:lineRule="auto" w:line="360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29. Z budżetu Gminy Dąbrowa Górnicza będą pokrywane jedynie niezbędne koszty związane bezpośrednio z realizacją zadania, które wymienione są w Zarządzeniu Nr 2072.2021 Prezydenta Miasta Dąbrowa Górnicza z dnia 04.11.2021 r.  w sprawie: przyjęcia zasad przyznawania i rozliczania dotacji z budżetu gminy Dąbrowa Górnicza na realizację zadań własnych gminy i powiatu w 2022 r.     </w:t>
        <w:br/>
        <w:t>w ramach art. 13 ustawy o działalności pożytku publicznego i o wolontariacie (tryb konkursowy).</w:t>
      </w:r>
    </w:p>
    <w:p>
      <w:pPr>
        <w:pStyle w:val="Normal"/>
        <w:spacing w:lineRule="auto" w:line="360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>30. W roku 2020 zrealizowano zadania publiczne z zakresu przedsiębiorczości i rozwoju gospodarczego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 xml:space="preserve">przyznając z budżetu Gminy Dąbrowa Górnicza dotacje w wysokości: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theme="minorHAnsi"/>
                <w:highlight w:val="white"/>
              </w:rPr>
            </w:pPr>
            <w:r>
              <w:rPr>
                <w:rFonts w:cs="Calibri" w:cstheme="minorHAnsi"/>
                <w:b/>
                <w:highlight w:val="white"/>
              </w:rPr>
              <w:t>251 300, 00 zł</w:t>
            </w:r>
          </w:p>
        </w:tc>
      </w:tr>
    </w:tbl>
    <w:p>
      <w:pPr>
        <w:pStyle w:val="Normal"/>
        <w:spacing w:lineRule="auto" w:line="360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rPr>
          <w:rFonts w:cs="Calibri" w:cstheme="minorHAnsi"/>
          <w:highlight w:val="yellow"/>
        </w:rPr>
      </w:pPr>
      <w:r>
        <w:rPr>
          <w:rFonts w:cs="Calibri" w:cstheme="minorHAnsi"/>
        </w:rPr>
        <w:t>31. W roku 2021 zrealizowano zadania publiczne z zakresu z zakresu przedsiębiorczości i rozwoju gospodarczego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>przyznając z budżetu Gminy Dąbrowa Górnicza dotacje w wysokości: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theme="minorHAnsi"/>
                <w:highlight w:val="white"/>
              </w:rPr>
            </w:pPr>
            <w:r>
              <w:rPr>
                <w:rFonts w:cs="Calibri" w:cstheme="minorHAnsi"/>
                <w:b/>
                <w:highlight w:val="white"/>
              </w:rPr>
              <w:t>220 000,00 zł</w:t>
            </w:r>
          </w:p>
        </w:tc>
      </w:tr>
    </w:tbl>
    <w:p>
      <w:pPr>
        <w:pStyle w:val="Normal"/>
        <w:spacing w:lineRule="auto" w:line="360"/>
        <w:rPr>
          <w:rFonts w:cs="Calibri" w:cstheme="minorHAnsi"/>
          <w:color w:val="FF0000"/>
          <w:u w:val="single"/>
        </w:rPr>
      </w:pPr>
      <w:r>
        <w:rPr>
          <w:rFonts w:cs="Calibri" w:cstheme="minorHAnsi"/>
          <w:color w:val="FF0000"/>
          <w:u w:val="single"/>
        </w:rPr>
      </w:r>
    </w:p>
    <w:p>
      <w:pPr>
        <w:pStyle w:val="Normal"/>
        <w:spacing w:lineRule="auto" w:line="36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Parafowała:</w:t>
      </w:r>
    </w:p>
    <w:p>
      <w:pPr>
        <w:pStyle w:val="Normal"/>
        <w:spacing w:lineRule="auto" w:line="36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Magdalena Mike</w:t>
      </w:r>
    </w:p>
    <w:p>
      <w:pPr>
        <w:pStyle w:val="Normal"/>
        <w:spacing w:lineRule="auto" w:line="36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 xml:space="preserve">Z-ca Naczelnika WOP </w:t>
      </w:r>
    </w:p>
    <w:p>
      <w:pPr>
        <w:pStyle w:val="Normal"/>
        <w:spacing w:lineRule="auto" w:line="360"/>
        <w:rPr>
          <w:rFonts w:cs="Calibri" w:cstheme="minorHAnsi"/>
          <w:color w:val="FF0000"/>
          <w:u w:val="single"/>
        </w:rPr>
      </w:pPr>
      <w:r>
        <w:rPr>
          <w:rFonts w:cs="Calibri" w:cstheme="minorHAnsi"/>
          <w:color w:val="FF0000"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1e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nhideWhenUsed/>
    <w:qFormat/>
    <w:rsid w:val="005c1e5a"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5c1e5a"/>
    <w:rPr>
      <w:rFonts w:ascii="Cambria" w:hAnsi="Cambria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Czeinternetowe">
    <w:name w:val="Łącze internetowe"/>
    <w:basedOn w:val="DefaultParagraphFont"/>
    <w:uiPriority w:val="99"/>
    <w:unhideWhenUsed/>
    <w:rsid w:val="005c1e5a"/>
    <w:rPr>
      <w:color w:val="0563C1" w:themeColor="hyperlink"/>
      <w:u w:val="single"/>
    </w:rPr>
  </w:style>
  <w:style w:type="character" w:styleId="Tekstpodstawowy2Znak" w:customStyle="1">
    <w:name w:val="Tekst podstawowy 2 Znak"/>
    <w:basedOn w:val="DefaultParagraphFont"/>
    <w:uiPriority w:val="99"/>
    <w:semiHidden/>
    <w:qFormat/>
    <w:rsid w:val="005c1e5a"/>
    <w:rPr/>
  </w:style>
  <w:style w:type="character" w:styleId="Tekstpodstawowy2Znak1" w:customStyle="1">
    <w:name w:val="Tekst podstawowy 2 Znak1"/>
    <w:link w:val="Tekstpodstawowy2"/>
    <w:uiPriority w:val="99"/>
    <w:qFormat/>
    <w:rsid w:val="005c1e5a"/>
    <w:rPr>
      <w:rFonts w:ascii="Times New Roman" w:hAnsi="Times New Roman" w:eastAsia="Lucida Sans Unicode" w:cs="Mangal"/>
      <w:sz w:val="24"/>
      <w:szCs w:val="21"/>
      <w:lang w:val="x-none" w:eastAsia="hi-I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1e5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82ed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82ed5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d6a22"/>
    <w:rPr>
      <w:rFonts w:ascii="Segoe UI" w:hAnsi="Segoe UI" w:cs="Segoe UI"/>
      <w:sz w:val="18"/>
      <w:szCs w:val="18"/>
    </w:rPr>
  </w:style>
  <w:style w:type="character" w:styleId="Object" w:customStyle="1">
    <w:name w:val="object"/>
    <w:basedOn w:val="DefaultParagraphFont"/>
    <w:qFormat/>
    <w:rsid w:val="003d6a2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5c1e5a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Tekstpodstawowy2Znak1"/>
    <w:uiPriority w:val="99"/>
    <w:unhideWhenUsed/>
    <w:qFormat/>
    <w:rsid w:val="005c1e5a"/>
    <w:pPr>
      <w:widowControl w:val="false"/>
      <w:suppressAutoHyphens w:val="true"/>
      <w:spacing w:lineRule="auto" w:line="480" w:before="0" w:after="120"/>
      <w:textAlignment w:val="baseline"/>
    </w:pPr>
    <w:rPr>
      <w:rFonts w:ascii="Times New Roman" w:hAnsi="Times New Roman" w:eastAsia="Lucida Sans Unicode" w:cs="Mangal"/>
      <w:sz w:val="24"/>
      <w:szCs w:val="21"/>
      <w:lang w:val="x-none" w:eastAsia="hi-IN" w:bidi="hi-IN"/>
    </w:rPr>
  </w:style>
  <w:style w:type="paragraph" w:styleId="Default" w:customStyle="1">
    <w:name w:val="Default"/>
    <w:qFormat/>
    <w:rsid w:val="00c7419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82ed5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182ed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d6a22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50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c1e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dabrowagornicza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1B5DB-FDF7-4B21-8D0A-03DC1CAE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LibreOffice/5.2.4.2$Windows_x86 LibreOffice_project/3d5603e1122f0f102b62521720ab13a38a4e0eb0</Application>
  <Pages>10</Pages>
  <Words>2904</Words>
  <Characters>19153</Characters>
  <CharactersWithSpaces>22234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2021-11-26T13:57:00Z</dcterms:created>
  <dc:creator>Magdalena Mike</dc:creator>
  <dc:description/>
  <dc:language>pl-PL</dc:language>
  <cp:lastModifiedBy/>
  <dcterms:modified xsi:type="dcterms:W3CDTF">2021-11-30T09:35:16Z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